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D30" w:rsidRDefault="007A0D30">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7A0D30" w:rsidRDefault="007A0D30">
      <w:pPr>
        <w:tabs>
          <w:tab w:val="left" w:pos="-720"/>
        </w:tabs>
        <w:suppressAutoHyphens/>
        <w:jc w:val="center"/>
        <w:rPr>
          <w:rFonts w:ascii="Helvetica" w:hAnsi="Helvetica"/>
          <w:b/>
          <w:lang w:val="es-ES_tradnl"/>
        </w:rPr>
      </w:pPr>
    </w:p>
    <w:p w:rsidR="007A0D30" w:rsidRDefault="007A0D30">
      <w:pPr>
        <w:tabs>
          <w:tab w:val="center" w:pos="4253"/>
        </w:tabs>
        <w:suppressAutoHyphens/>
        <w:jc w:val="center"/>
        <w:rPr>
          <w:rFonts w:ascii="Helvetica" w:hAnsi="Helvetica"/>
          <w:b/>
          <w:lang w:val="es-ES_tradnl"/>
        </w:rPr>
      </w:pPr>
      <w:r>
        <w:rPr>
          <w:rFonts w:ascii="Helvetica" w:hAnsi="Helvetica"/>
          <w:b/>
          <w:lang w:val="es-ES_tradnl"/>
        </w:rPr>
        <w:t>TRIBUNAL DE CUENTAS</w:t>
      </w:r>
    </w:p>
    <w:p w:rsidR="007A0D30" w:rsidRDefault="007A0D30">
      <w:pPr>
        <w:tabs>
          <w:tab w:val="left" w:pos="-720"/>
        </w:tabs>
        <w:suppressAutoHyphens/>
        <w:jc w:val="center"/>
        <w:rPr>
          <w:rFonts w:ascii="Helvetica" w:hAnsi="Helvetica"/>
          <w:b/>
          <w:lang w:val="es-ES_tradnl"/>
        </w:rPr>
      </w:pPr>
    </w:p>
    <w:p w:rsidR="007A0D30" w:rsidRDefault="007A0D30">
      <w:pPr>
        <w:tabs>
          <w:tab w:val="center" w:pos="4253"/>
        </w:tabs>
        <w:suppressAutoHyphens/>
        <w:jc w:val="center"/>
        <w:rPr>
          <w:rFonts w:ascii="Helvetica" w:hAnsi="Helvetica"/>
          <w:b/>
          <w:lang w:val="es-ES_tradnl"/>
        </w:rPr>
      </w:pPr>
      <w:r>
        <w:rPr>
          <w:rFonts w:ascii="Helvetica" w:hAnsi="Helvetica"/>
          <w:b/>
          <w:lang w:val="es-ES_tradnl"/>
        </w:rPr>
        <w:t>EN SESION DE FECHA 17 DE SETIEMBRE DE 2014</w:t>
      </w:r>
    </w:p>
    <w:p w:rsidR="007A0D30" w:rsidRDefault="007A0D30">
      <w:pPr>
        <w:tabs>
          <w:tab w:val="center" w:pos="4253"/>
        </w:tabs>
        <w:suppressAutoHyphens/>
        <w:jc w:val="center"/>
        <w:rPr>
          <w:rFonts w:ascii="Helvetica" w:hAnsi="Helvetica"/>
          <w:b/>
          <w:lang w:val="es-ES_tradnl"/>
        </w:rPr>
      </w:pPr>
    </w:p>
    <w:p w:rsidR="007A0D30" w:rsidRPr="007A0D30" w:rsidRDefault="007A0D30">
      <w:pPr>
        <w:tabs>
          <w:tab w:val="center" w:pos="4253"/>
        </w:tabs>
        <w:suppressAutoHyphens/>
        <w:jc w:val="center"/>
        <w:rPr>
          <w:rFonts w:ascii="Helvetica" w:hAnsi="Helvetica"/>
          <w:b/>
          <w:lang w:val="es-UY"/>
        </w:rPr>
      </w:pPr>
      <w:r w:rsidRPr="007A0D30">
        <w:rPr>
          <w:rFonts w:ascii="Helvetica" w:hAnsi="Helvetica"/>
          <w:b/>
          <w:lang w:val="es-UY"/>
        </w:rPr>
        <w:t>(E. E. Nº 2014-17-1-0006117, Ent. N°4707/14)</w:t>
      </w:r>
    </w:p>
    <w:p w:rsidR="007A0D30" w:rsidRPr="007A0D30" w:rsidRDefault="007A0D30">
      <w:pPr>
        <w:tabs>
          <w:tab w:val="center" w:pos="4253"/>
        </w:tabs>
        <w:suppressAutoHyphens/>
        <w:jc w:val="center"/>
        <w:rPr>
          <w:spacing w:val="-3"/>
          <w:lang w:val="es-UY"/>
        </w:rPr>
      </w:pPr>
    </w:p>
    <w:p w:rsidR="007A0D30" w:rsidRPr="007A0D30" w:rsidRDefault="007A0D30">
      <w:pPr>
        <w:tabs>
          <w:tab w:val="center" w:pos="4253"/>
        </w:tabs>
        <w:suppressAutoHyphens/>
        <w:rPr>
          <w:spacing w:val="-3"/>
          <w:lang w:val="es-UY"/>
        </w:rPr>
      </w:pPr>
    </w:p>
    <w:p w:rsidR="003B2485" w:rsidRPr="007A0D30" w:rsidRDefault="003B2485" w:rsidP="007A0D30">
      <w:pPr>
        <w:spacing w:line="360" w:lineRule="auto"/>
        <w:ind w:firstLine="851"/>
        <w:jc w:val="both"/>
        <w:rPr>
          <w:spacing w:val="-3"/>
          <w:lang w:val="es-ES_tradnl"/>
        </w:rPr>
      </w:pPr>
      <w:r w:rsidRPr="007A0D30">
        <w:rPr>
          <w:b/>
          <w:bCs/>
        </w:rPr>
        <w:t xml:space="preserve">VISTO: </w:t>
      </w:r>
      <w:r w:rsidRPr="007A0D30">
        <w:t xml:space="preserve">estas actuaciones remitidas por la </w:t>
      </w:r>
      <w:r w:rsidRPr="007A0D30">
        <w:rPr>
          <w:spacing w:val="-3"/>
          <w:lang w:val="es-ES_tradnl"/>
        </w:rPr>
        <w:t>Administración Nacional de Usinas y Trasmisiones Eléctricas (UTE) relacionadas con la emisión de obligaciones negociables por un monto de hasta U$S 100:000.000;</w:t>
      </w:r>
    </w:p>
    <w:p w:rsidR="007A0D30" w:rsidRDefault="003B2485" w:rsidP="007A0D30">
      <w:pPr>
        <w:spacing w:line="360" w:lineRule="auto"/>
        <w:ind w:firstLine="851"/>
        <w:jc w:val="both"/>
      </w:pPr>
      <w:r>
        <w:rPr>
          <w:b/>
          <w:bCs/>
        </w:rPr>
        <w:t xml:space="preserve">RESULTANDO: 1) </w:t>
      </w:r>
      <w:r>
        <w:t>que el Directorio, por Resolución Nº 14.369 del 27/2/14,  dispuso el inicio del proceso para la obtención de un financiamiento en el mercado de capitales del orden de U$S 100:000.000, mediante Obligaciones Negociables por oferta pública, y  por Res</w:t>
      </w:r>
      <w:r w:rsidR="007A0D30">
        <w:t xml:space="preserve">olución Nº 14.637 del 10/4/14, </w:t>
      </w:r>
      <w:r>
        <w:t>aprobó la emisión y cotización de las Obligaciones Neg</w:t>
      </w:r>
      <w:r w:rsidR="007A0D30">
        <w:t>ociables referidas, de acuerdo con</w:t>
      </w:r>
      <w:r>
        <w:t xml:space="preserve"> los términos y condiciones estipuladas en los  Anexos I y II que se adju</w:t>
      </w:r>
      <w:r w:rsidR="007A0D30">
        <w:t>ntan, ordenando la suma de UR 1:</w:t>
      </w:r>
      <w:r>
        <w:t>150.000,</w:t>
      </w:r>
      <w:r w:rsidR="007A0D30">
        <w:t xml:space="preserve"> </w:t>
      </w:r>
      <w:r>
        <w:t xml:space="preserve">por concepto de intereses y  hasta U$S 150.000 por concepto de otros costos de emisión, más los impuestos correspondientes,  al amparo de lo dispuesto </w:t>
      </w:r>
      <w:r w:rsidR="007A0D30">
        <w:t>por el Decreto Nº 194/006 y el A</w:t>
      </w:r>
      <w:r>
        <w:t>rt</w:t>
      </w:r>
      <w:r w:rsidR="007A0D30">
        <w:t>ículo</w:t>
      </w:r>
      <w:r>
        <w:t xml:space="preserve"> 37 del TOCAF;</w:t>
      </w:r>
    </w:p>
    <w:p w:rsidR="00D16E5A" w:rsidRDefault="003B2485" w:rsidP="00D16E5A">
      <w:pPr>
        <w:spacing w:line="360" w:lineRule="auto"/>
        <w:ind w:firstLine="2835"/>
        <w:jc w:val="both"/>
      </w:pPr>
      <w:r w:rsidRPr="00D16E5A">
        <w:rPr>
          <w:b/>
        </w:rPr>
        <w:t>2</w:t>
      </w:r>
      <w:r>
        <w:rPr>
          <w:b/>
          <w:bCs/>
        </w:rPr>
        <w:t xml:space="preserve">) </w:t>
      </w:r>
      <w:r>
        <w:t>que según surge de los mencionados Anexos, la emisión de Obligaciones Negociables, por l</w:t>
      </w:r>
      <w:r w:rsidR="00D16E5A">
        <w:t>a suma de hasta un total de U$S</w:t>
      </w:r>
      <w:r>
        <w:t>100:000.000 en Unidades Reajustables, es a doce años de plazo, con  una tasa de interés compensatorio fija lineal anual desde la fecha de emisión hasta la fecha de su vencimiento, calculándose el interés en base a un año de 360 días y meses de 30 días sobre el capital no amortizado, pudiendo el Emisor  optar por rescatar anticipadamente la totalidad de las Obligaciones Negociables en cualquier día de pago de intereses, abonando la totalidad del sald</w:t>
      </w:r>
      <w:r w:rsidR="00D16E5A">
        <w:t>o impago de capital adeudado, má</w:t>
      </w:r>
      <w:r>
        <w:t xml:space="preserve">s los intereses devengados hasta el día de rescate,  las amortizaciones son en 3 cuotas pagaderas los 3 últimos años, y  las </w:t>
      </w:r>
      <w:r>
        <w:lastRenderedPageBreak/>
        <w:t>Obligaciones Negociables serán ofrecidas mediante oferta pública ,a través de la Bolsa Ele</w:t>
      </w:r>
      <w:r w:rsidR="00D16E5A">
        <w:t>ctrónica de Valores del Uruguay</w:t>
      </w:r>
      <w:r>
        <w:t>;</w:t>
      </w:r>
    </w:p>
    <w:p w:rsidR="00D16E5A" w:rsidRDefault="003B2485" w:rsidP="00D16E5A">
      <w:pPr>
        <w:spacing w:line="360" w:lineRule="auto"/>
        <w:ind w:firstLine="2835"/>
        <w:jc w:val="both"/>
      </w:pPr>
      <w:r w:rsidRPr="00D16E5A">
        <w:rPr>
          <w:b/>
        </w:rPr>
        <w:t>3</w:t>
      </w:r>
      <w:r>
        <w:rPr>
          <w:b/>
          <w:bCs/>
        </w:rPr>
        <w:t xml:space="preserve">) </w:t>
      </w:r>
      <w:r>
        <w:t>que por Resolución del Poder Ejecutivo, de fecha 23/6/14, se dispuso conferir autorización a la UTE para realizar una emisión de Obligaciones Negociables escriturales no convertibles en acciones, por un monto de hasta U$S 100:000.000 en Unidades Reajustables y por un plazo de 12 años;</w:t>
      </w:r>
    </w:p>
    <w:p w:rsidR="00D16E5A" w:rsidRDefault="003B2485" w:rsidP="00D16E5A">
      <w:pPr>
        <w:spacing w:line="360" w:lineRule="auto"/>
        <w:ind w:firstLine="2835"/>
        <w:jc w:val="both"/>
      </w:pPr>
      <w:r w:rsidRPr="00D16E5A">
        <w:rPr>
          <w:b/>
        </w:rPr>
        <w:t>4</w:t>
      </w:r>
      <w:r>
        <w:rPr>
          <w:b/>
          <w:bCs/>
        </w:rPr>
        <w:t xml:space="preserve">) </w:t>
      </w:r>
      <w:r>
        <w:t>que el Departamento de Registro y Control Presupuestal, con  fecha 14/7/14,</w:t>
      </w:r>
      <w:r w:rsidR="00D16E5A">
        <w:t xml:space="preserve"> informó</w:t>
      </w:r>
      <w:r>
        <w:t xml:space="preserve"> que el Grupo 6 “Partida no limitativa”, presenta créditos disponible</w:t>
      </w:r>
      <w:r w:rsidR="00D16E5A">
        <w:t>s para imputar el monto de $ 43:</w:t>
      </w:r>
      <w:r>
        <w:t>522.200 (equivalente a UR 60.000) y U$S 106.000, en el Ejercicio 2014 y que dicho Grupo , presenta créditos disponibles</w:t>
      </w:r>
      <w:r w:rsidR="00D16E5A">
        <w:t xml:space="preserve"> para imputar el monto de $ 790:653.300 (equivalente a UR 1:090.000) y U$S 44.000, en el E</w:t>
      </w:r>
      <w:r>
        <w:t>jer</w:t>
      </w:r>
      <w:r w:rsidR="00D16E5A">
        <w:t>cicio 2014 e incorporar en los E</w:t>
      </w:r>
      <w:r>
        <w:t>jercicios 2015 y siguientes;</w:t>
      </w:r>
    </w:p>
    <w:p w:rsidR="00D16E5A" w:rsidRDefault="003B2485" w:rsidP="00D16E5A">
      <w:pPr>
        <w:spacing w:line="360" w:lineRule="auto"/>
        <w:ind w:firstLine="2835"/>
        <w:jc w:val="both"/>
      </w:pPr>
      <w:r w:rsidRPr="00D16E5A">
        <w:rPr>
          <w:b/>
        </w:rPr>
        <w:t>5</w:t>
      </w:r>
      <w:r>
        <w:rPr>
          <w:b/>
          <w:bCs/>
        </w:rPr>
        <w:t>)</w:t>
      </w:r>
      <w:r>
        <w:t xml:space="preserve"> que el Contador Delegado, con fecha 14/7/14, teniendo en cuenta el informe contable referido,  intervino el gasto;</w:t>
      </w:r>
    </w:p>
    <w:p w:rsidR="003B2485" w:rsidRDefault="003B2485" w:rsidP="00D16E5A">
      <w:pPr>
        <w:spacing w:line="360" w:lineRule="auto"/>
        <w:ind w:firstLine="2835"/>
        <w:jc w:val="both"/>
      </w:pPr>
      <w:r w:rsidRPr="00DD4A87">
        <w:rPr>
          <w:b/>
        </w:rPr>
        <w:t>6</w:t>
      </w:r>
      <w:r>
        <w:rPr>
          <w:b/>
          <w:bCs/>
        </w:rPr>
        <w:t>)</w:t>
      </w:r>
      <w:r>
        <w:t xml:space="preserve"> que se adjunta copia del documento de emisión de obligaciones negociables;</w:t>
      </w:r>
    </w:p>
    <w:p w:rsidR="00DD4A87" w:rsidRDefault="003B2485" w:rsidP="00DD4A87">
      <w:pPr>
        <w:spacing w:line="360" w:lineRule="auto"/>
        <w:ind w:firstLine="851"/>
        <w:jc w:val="both"/>
        <w:rPr>
          <w:lang w:val="es-MX"/>
        </w:rPr>
      </w:pPr>
      <w:r>
        <w:rPr>
          <w:b/>
          <w:bCs/>
        </w:rPr>
        <w:t>CONSIDERANDO</w:t>
      </w:r>
      <w:r>
        <w:t xml:space="preserve">: </w:t>
      </w:r>
      <w:r>
        <w:rPr>
          <w:b/>
          <w:bCs/>
        </w:rPr>
        <w:t>1)</w:t>
      </w:r>
      <w:r>
        <w:rPr>
          <w:b/>
          <w:bCs/>
          <w:lang w:val="es-MX"/>
        </w:rPr>
        <w:t xml:space="preserve"> </w:t>
      </w:r>
      <w:r>
        <w:rPr>
          <w:lang w:val="es-MX"/>
        </w:rPr>
        <w:t xml:space="preserve">que el Decreto Nº 194/006 autoriza a UTE, al amparo </w:t>
      </w:r>
      <w:r w:rsidR="00DD4A87">
        <w:rPr>
          <w:lang w:val="es-MX"/>
        </w:rPr>
        <w:t>de lo dispuesto por el Artículo 34 del TOCAF (actual A</w:t>
      </w:r>
      <w:r>
        <w:rPr>
          <w:lang w:val="es-MX"/>
        </w:rPr>
        <w:t>rtículo 37), a efectuar la  emisión de endeudamiento en el mercado de capitales</w:t>
      </w:r>
      <w:r w:rsidR="00DD4A87">
        <w:rPr>
          <w:lang w:val="es-MX"/>
        </w:rPr>
        <w:t>, la cual se regirá por la L</w:t>
      </w:r>
      <w:r>
        <w:rPr>
          <w:lang w:val="es-MX"/>
        </w:rPr>
        <w:t>ey 18627</w:t>
      </w:r>
      <w:r w:rsidR="00DD4A87">
        <w:rPr>
          <w:lang w:val="es-MX"/>
        </w:rPr>
        <w:t xml:space="preserve"> (Mercado de Valores), </w:t>
      </w:r>
      <w:r w:rsidR="006848A5">
        <w:rPr>
          <w:lang w:val="es-MX"/>
        </w:rPr>
        <w:t>Artículos</w:t>
      </w:r>
      <w:r>
        <w:rPr>
          <w:lang w:val="es-MX"/>
        </w:rPr>
        <w:t xml:space="preserve"> 63 y siguientes, procediendo la intervención de legalidad por parte del Contador Delegado en el Ente;</w:t>
      </w:r>
    </w:p>
    <w:p w:rsidR="006848A5" w:rsidRDefault="003B2485" w:rsidP="006848A5">
      <w:pPr>
        <w:spacing w:line="360" w:lineRule="auto"/>
        <w:ind w:firstLine="2977"/>
        <w:jc w:val="both"/>
      </w:pPr>
      <w:r w:rsidRPr="00DD4A87">
        <w:rPr>
          <w:b/>
        </w:rPr>
        <w:t>2)</w:t>
      </w:r>
      <w:r w:rsidR="00DD4A87">
        <w:rPr>
          <w:b/>
        </w:rPr>
        <w:t xml:space="preserve"> </w:t>
      </w:r>
      <w:r w:rsidR="00DD4A87">
        <w:t>que el A</w:t>
      </w:r>
      <w:r>
        <w:t>rtículo 63 de la Ley Nº 18.627 de 2 de diciembre de 2009, e</w:t>
      </w:r>
      <w:r w:rsidR="006848A5">
        <w:t>stablece la posibilidad de los Entes A</w:t>
      </w:r>
      <w:r>
        <w:t>utónomos del dominio industrial y comercial del Estado de emitir obligaciones negociables, debiendo contar con autorización del Poder Ejecutivo con informe previo del Banco Central del Uruguay;</w:t>
      </w:r>
    </w:p>
    <w:p w:rsidR="003B2485" w:rsidRDefault="003B2485" w:rsidP="006848A5">
      <w:pPr>
        <w:spacing w:line="360" w:lineRule="auto"/>
        <w:ind w:firstLine="2977"/>
        <w:jc w:val="both"/>
        <w:rPr>
          <w:lang w:val="es-MX"/>
        </w:rPr>
      </w:pPr>
      <w:r w:rsidRPr="006848A5">
        <w:rPr>
          <w:b/>
        </w:rPr>
        <w:lastRenderedPageBreak/>
        <w:t>3</w:t>
      </w:r>
      <w:r w:rsidR="006848A5">
        <w:rPr>
          <w:b/>
          <w:bCs/>
        </w:rPr>
        <w:t xml:space="preserve">) </w:t>
      </w:r>
      <w:r>
        <w:rPr>
          <w:lang w:val="es-MX"/>
        </w:rPr>
        <w:t>que</w:t>
      </w:r>
      <w:r>
        <w:rPr>
          <w:b/>
          <w:bCs/>
          <w:lang w:val="es-MX"/>
        </w:rPr>
        <w:t xml:space="preserve"> </w:t>
      </w:r>
      <w:r w:rsidR="006848A5">
        <w:rPr>
          <w:lang w:val="es-MX"/>
        </w:rPr>
        <w:t>el A</w:t>
      </w:r>
      <w:r>
        <w:rPr>
          <w:lang w:val="es-MX"/>
        </w:rPr>
        <w:t>rtículo 337 de la Ley N</w:t>
      </w:r>
      <w:r>
        <w:rPr>
          <w:b/>
          <w:bCs/>
          <w:lang w:val="es-MX"/>
        </w:rPr>
        <w:t xml:space="preserve">º </w:t>
      </w:r>
      <w:r w:rsidR="006848A5">
        <w:rPr>
          <w:lang w:val="es-MX"/>
        </w:rPr>
        <w:t>18.996, sustitutivo del A</w:t>
      </w:r>
      <w:r>
        <w:rPr>
          <w:lang w:val="es-MX"/>
        </w:rPr>
        <w:t>rt</w:t>
      </w:r>
      <w:r w:rsidR="006848A5">
        <w:rPr>
          <w:lang w:val="es-MX"/>
        </w:rPr>
        <w:t>ículo</w:t>
      </w:r>
      <w:r>
        <w:rPr>
          <w:lang w:val="es-MX"/>
        </w:rPr>
        <w:t xml:space="preserve"> 267 de la Ley Nº 18.834, dispone que</w:t>
      </w:r>
      <w:r>
        <w:rPr>
          <w:b/>
          <w:bCs/>
          <w:lang w:val="es-MX"/>
        </w:rPr>
        <w:t xml:space="preserve"> </w:t>
      </w:r>
      <w:r w:rsidR="006848A5">
        <w:rPr>
          <w:lang w:val="es-MX"/>
        </w:rPr>
        <w:t>los Entes A</w:t>
      </w:r>
      <w:r>
        <w:rPr>
          <w:lang w:val="es-MX"/>
        </w:rPr>
        <w:t>utónomos del dominio industrial y comercial del Estado para endeudamiento superior al equivalente a UI 85:000.000, serán autorizadas por el Poder Ejecutivo e informadas a la Asamblea General, estableciendo además que también quedan incluidas las operaciones financieras de las personas</w:t>
      </w:r>
      <w:r w:rsidR="006848A5">
        <w:rPr>
          <w:lang w:val="es-MX"/>
        </w:rPr>
        <w:t xml:space="preserve"> jurídicas controladas por los E</w:t>
      </w:r>
      <w:r>
        <w:rPr>
          <w:lang w:val="es-MX"/>
        </w:rPr>
        <w:t>ntes;</w:t>
      </w:r>
    </w:p>
    <w:p w:rsidR="003B2485" w:rsidRDefault="003B2485" w:rsidP="006848A5">
      <w:pPr>
        <w:spacing w:line="360" w:lineRule="auto"/>
        <w:ind w:firstLine="851"/>
        <w:jc w:val="both"/>
      </w:pPr>
      <w:r>
        <w:rPr>
          <w:b/>
          <w:bCs/>
        </w:rPr>
        <w:t xml:space="preserve">ATENTO: </w:t>
      </w:r>
      <w:r>
        <w:t>a lo precedentemente expuesto;</w:t>
      </w:r>
    </w:p>
    <w:p w:rsidR="003B2485" w:rsidRDefault="003B2485">
      <w:pPr>
        <w:pStyle w:val="Ttulo2"/>
      </w:pPr>
      <w:r>
        <w:t>EL TRIBUNAL ACUERDA</w:t>
      </w:r>
    </w:p>
    <w:p w:rsidR="006848A5" w:rsidRDefault="006848A5">
      <w:pPr>
        <w:numPr>
          <w:ilvl w:val="0"/>
          <w:numId w:val="1"/>
        </w:numPr>
        <w:spacing w:line="360" w:lineRule="auto"/>
        <w:jc w:val="both"/>
      </w:pPr>
      <w:r>
        <w:t xml:space="preserve">Tomado conocimiento; </w:t>
      </w:r>
    </w:p>
    <w:p w:rsidR="006848A5" w:rsidRPr="006848A5" w:rsidRDefault="006848A5" w:rsidP="006848A5">
      <w:pPr>
        <w:numPr>
          <w:ilvl w:val="0"/>
          <w:numId w:val="1"/>
        </w:numPr>
        <w:spacing w:line="360" w:lineRule="auto"/>
        <w:jc w:val="both"/>
        <w:rPr>
          <w:rFonts w:ascii="Times New Roman" w:hAnsi="Times New Roman" w:cs="Times New Roman"/>
        </w:rPr>
      </w:pPr>
      <w:r>
        <w:t>Devolver las actuaciones.</w:t>
      </w:r>
    </w:p>
    <w:p w:rsidR="006848A5" w:rsidRDefault="006848A5" w:rsidP="006848A5">
      <w:pPr>
        <w:spacing w:line="360" w:lineRule="auto"/>
        <w:jc w:val="both"/>
      </w:pPr>
    </w:p>
    <w:p w:rsidR="006848A5" w:rsidRDefault="006848A5" w:rsidP="006848A5">
      <w:pPr>
        <w:spacing w:line="360" w:lineRule="auto"/>
        <w:jc w:val="both"/>
      </w:pPr>
    </w:p>
    <w:p w:rsidR="006848A5" w:rsidRDefault="006848A5" w:rsidP="006848A5">
      <w:pPr>
        <w:spacing w:line="360" w:lineRule="auto"/>
        <w:jc w:val="both"/>
      </w:pPr>
    </w:p>
    <w:p w:rsidR="006848A5" w:rsidRDefault="006848A5" w:rsidP="006848A5">
      <w:pPr>
        <w:spacing w:line="360" w:lineRule="auto"/>
        <w:jc w:val="both"/>
      </w:pPr>
    </w:p>
    <w:p w:rsidR="006848A5" w:rsidRDefault="006848A5" w:rsidP="006848A5">
      <w:pPr>
        <w:spacing w:line="360" w:lineRule="auto"/>
        <w:jc w:val="both"/>
      </w:pPr>
    </w:p>
    <w:p w:rsidR="006848A5" w:rsidRDefault="006848A5" w:rsidP="006848A5">
      <w:pPr>
        <w:spacing w:line="360" w:lineRule="auto"/>
        <w:jc w:val="both"/>
      </w:pPr>
    </w:p>
    <w:p w:rsidR="003B2485" w:rsidRDefault="006848A5" w:rsidP="006848A5">
      <w:pPr>
        <w:spacing w:line="360" w:lineRule="auto"/>
        <w:ind w:hanging="709"/>
        <w:jc w:val="both"/>
        <w:rPr>
          <w:rFonts w:ascii="Times New Roman" w:hAnsi="Times New Roman" w:cs="Times New Roman"/>
        </w:rPr>
      </w:pPr>
      <w:r>
        <w:t>dc</w:t>
      </w:r>
      <w:bookmarkStart w:id="0" w:name="_GoBack"/>
      <w:bookmarkEnd w:id="0"/>
      <w:r>
        <w:rPr>
          <w:rFonts w:ascii="Times New Roman" w:hAnsi="Times New Roman" w:cs="Times New Roman"/>
        </w:rPr>
        <w:t xml:space="preserve"> </w:t>
      </w:r>
    </w:p>
    <w:sectPr w:rsidR="003B2485" w:rsidSect="00C269EC">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53BF4"/>
    <w:multiLevelType w:val="hybridMultilevel"/>
    <w:tmpl w:val="FEDA85DA"/>
    <w:lvl w:ilvl="0" w:tplc="6A00E918">
      <w:start w:val="1"/>
      <w:numFmt w:val="decimal"/>
      <w:lvlText w:val="%1)"/>
      <w:lvlJc w:val="left"/>
      <w:pPr>
        <w:tabs>
          <w:tab w:val="num" w:pos="720"/>
        </w:tabs>
        <w:ind w:left="720" w:hanging="360"/>
      </w:pPr>
      <w:rPr>
        <w:rFonts w:ascii="Arial" w:hAnsi="Arial" w:cs="Arial" w:hint="default"/>
        <w:b/>
        <w:bCs/>
      </w:rPr>
    </w:lvl>
    <w:lvl w:ilvl="1" w:tplc="0C0A0019">
      <w:start w:val="1"/>
      <w:numFmt w:val="lowerLetter"/>
      <w:lvlText w:val="%2."/>
      <w:lvlJc w:val="left"/>
      <w:pPr>
        <w:tabs>
          <w:tab w:val="num" w:pos="1440"/>
        </w:tabs>
        <w:ind w:left="1440" w:hanging="360"/>
      </w:pPr>
      <w:rPr>
        <w:rFonts w:ascii="Times New Roman" w:hAnsi="Times New Roman"/>
      </w:rPr>
    </w:lvl>
    <w:lvl w:ilvl="2" w:tplc="0C0A001B">
      <w:start w:val="1"/>
      <w:numFmt w:val="lowerRoman"/>
      <w:lvlText w:val="%3."/>
      <w:lvlJc w:val="right"/>
      <w:pPr>
        <w:tabs>
          <w:tab w:val="num" w:pos="2160"/>
        </w:tabs>
        <w:ind w:left="2160" w:hanging="180"/>
      </w:pPr>
      <w:rPr>
        <w:rFonts w:ascii="Times New Roman" w:hAnsi="Times New Roman"/>
      </w:rPr>
    </w:lvl>
    <w:lvl w:ilvl="3" w:tplc="0C0A000F">
      <w:start w:val="1"/>
      <w:numFmt w:val="decimal"/>
      <w:lvlText w:val="%4."/>
      <w:lvlJc w:val="left"/>
      <w:pPr>
        <w:tabs>
          <w:tab w:val="num" w:pos="2880"/>
        </w:tabs>
        <w:ind w:left="2880" w:hanging="360"/>
      </w:pPr>
      <w:rPr>
        <w:rFonts w:ascii="Times New Roman" w:hAnsi="Times New Roman"/>
      </w:rPr>
    </w:lvl>
    <w:lvl w:ilvl="4" w:tplc="0C0A0019">
      <w:start w:val="1"/>
      <w:numFmt w:val="lowerLetter"/>
      <w:lvlText w:val="%5."/>
      <w:lvlJc w:val="left"/>
      <w:pPr>
        <w:tabs>
          <w:tab w:val="num" w:pos="3600"/>
        </w:tabs>
        <w:ind w:left="3600" w:hanging="360"/>
      </w:pPr>
      <w:rPr>
        <w:rFonts w:ascii="Times New Roman" w:hAnsi="Times New Roman"/>
      </w:rPr>
    </w:lvl>
    <w:lvl w:ilvl="5" w:tplc="0C0A001B">
      <w:start w:val="1"/>
      <w:numFmt w:val="lowerRoman"/>
      <w:lvlText w:val="%6."/>
      <w:lvlJc w:val="right"/>
      <w:pPr>
        <w:tabs>
          <w:tab w:val="num" w:pos="4320"/>
        </w:tabs>
        <w:ind w:left="4320" w:hanging="180"/>
      </w:pPr>
      <w:rPr>
        <w:rFonts w:ascii="Times New Roman" w:hAnsi="Times New Roman"/>
      </w:rPr>
    </w:lvl>
    <w:lvl w:ilvl="6" w:tplc="0C0A000F">
      <w:start w:val="1"/>
      <w:numFmt w:val="decimal"/>
      <w:lvlText w:val="%7."/>
      <w:lvlJc w:val="left"/>
      <w:pPr>
        <w:tabs>
          <w:tab w:val="num" w:pos="5040"/>
        </w:tabs>
        <w:ind w:left="5040" w:hanging="360"/>
      </w:pPr>
      <w:rPr>
        <w:rFonts w:ascii="Times New Roman" w:hAnsi="Times New Roman"/>
      </w:rPr>
    </w:lvl>
    <w:lvl w:ilvl="7" w:tplc="0C0A0019">
      <w:start w:val="1"/>
      <w:numFmt w:val="lowerLetter"/>
      <w:lvlText w:val="%8."/>
      <w:lvlJc w:val="left"/>
      <w:pPr>
        <w:tabs>
          <w:tab w:val="num" w:pos="5760"/>
        </w:tabs>
        <w:ind w:left="5760" w:hanging="360"/>
      </w:pPr>
      <w:rPr>
        <w:rFonts w:ascii="Times New Roman" w:hAnsi="Times New Roman"/>
      </w:rPr>
    </w:lvl>
    <w:lvl w:ilvl="8" w:tplc="0C0A001B">
      <w:start w:val="1"/>
      <w:numFmt w:val="lowerRoman"/>
      <w:lvlText w:val="%9."/>
      <w:lvlJc w:val="right"/>
      <w:pPr>
        <w:tabs>
          <w:tab w:val="num" w:pos="6480"/>
        </w:tabs>
        <w:ind w:left="6480"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5"/>
    <w:rsid w:val="003B2485"/>
    <w:rsid w:val="006848A5"/>
    <w:rsid w:val="007A0D30"/>
    <w:rsid w:val="00C269EC"/>
    <w:rsid w:val="00D16E5A"/>
    <w:rsid w:val="00DD4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spacing w:line="360" w:lineRule="auto"/>
      <w:jc w:val="both"/>
      <w:outlineLvl w:val="0"/>
    </w:pPr>
    <w:rPr>
      <w:b/>
      <w:bCs/>
    </w:rPr>
  </w:style>
  <w:style w:type="paragraph" w:styleId="Ttulo2">
    <w:name w:val="heading 2"/>
    <w:basedOn w:val="Normal"/>
    <w:next w:val="Normal"/>
    <w:link w:val="Ttulo2Car"/>
    <w:uiPriority w:val="99"/>
    <w:qFormat/>
    <w:pPr>
      <w:keepNext/>
      <w:spacing w:line="360" w:lineRule="auto"/>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val="es-ES" w:eastAsia="es-ES"/>
    </w:rPr>
  </w:style>
  <w:style w:type="character" w:customStyle="1" w:styleId="Ttulo2Car">
    <w:name w:val="Título 2 Car"/>
    <w:basedOn w:val="Fuentedeprrafopredeter"/>
    <w:link w:val="Ttulo2"/>
    <w:uiPriority w:val="99"/>
    <w:rPr>
      <w:rFonts w:ascii="Arial" w:hAnsi="Arial" w:cs="Arial"/>
      <w:b/>
      <w:bCs/>
      <w:sz w:val="24"/>
      <w:szCs w:val="24"/>
      <w:lang w:val="es-ES" w:eastAsia="es-ES"/>
    </w:rPr>
  </w:style>
  <w:style w:type="paragraph" w:styleId="Sangra3detindependiente">
    <w:name w:val="Body Text Indent 3"/>
    <w:basedOn w:val="Normal"/>
    <w:link w:val="Sangra3detindependienteCar"/>
    <w:uiPriority w:val="99"/>
    <w:pPr>
      <w:spacing w:line="360" w:lineRule="auto"/>
      <w:ind w:firstLine="708"/>
    </w:pPr>
  </w:style>
  <w:style w:type="character" w:customStyle="1" w:styleId="Sangra3detindependienteCar">
    <w:name w:val="Sangría 3 de t. independiente Car"/>
    <w:basedOn w:val="Fuentedeprrafopredeter"/>
    <w:link w:val="Sangra3detindependiente"/>
    <w:uiPriority w:val="99"/>
    <w:rPr>
      <w:rFonts w:ascii="Arial" w:hAnsi="Arial" w:cs="Arial"/>
      <w:sz w:val="24"/>
      <w:szCs w:val="24"/>
      <w:lang w:val="es-ES" w:eastAsia="es-ES"/>
    </w:rPr>
  </w:style>
  <w:style w:type="paragraph" w:styleId="Textoindependiente2">
    <w:name w:val="Body Text 2"/>
    <w:basedOn w:val="Normal"/>
    <w:link w:val="Textoindependiente2Car"/>
    <w:uiPriority w:val="99"/>
    <w:pPr>
      <w:spacing w:line="360" w:lineRule="auto"/>
      <w:jc w:val="right"/>
    </w:pPr>
  </w:style>
  <w:style w:type="character" w:customStyle="1" w:styleId="Textoindependiente2Car">
    <w:name w:val="Texto independiente 2 Car"/>
    <w:basedOn w:val="Fuentedeprrafopredeter"/>
    <w:link w:val="Textoindependiente2"/>
    <w:uiPriority w:val="99"/>
    <w:rPr>
      <w:rFonts w:ascii="Arial"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spacing w:line="360" w:lineRule="auto"/>
      <w:jc w:val="both"/>
      <w:outlineLvl w:val="0"/>
    </w:pPr>
    <w:rPr>
      <w:b/>
      <w:bCs/>
    </w:rPr>
  </w:style>
  <w:style w:type="paragraph" w:styleId="Ttulo2">
    <w:name w:val="heading 2"/>
    <w:basedOn w:val="Normal"/>
    <w:next w:val="Normal"/>
    <w:link w:val="Ttulo2Car"/>
    <w:uiPriority w:val="99"/>
    <w:qFormat/>
    <w:pPr>
      <w:keepNext/>
      <w:spacing w:line="360" w:lineRule="auto"/>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val="es-ES" w:eastAsia="es-ES"/>
    </w:rPr>
  </w:style>
  <w:style w:type="character" w:customStyle="1" w:styleId="Ttulo2Car">
    <w:name w:val="Título 2 Car"/>
    <w:basedOn w:val="Fuentedeprrafopredeter"/>
    <w:link w:val="Ttulo2"/>
    <w:uiPriority w:val="99"/>
    <w:rPr>
      <w:rFonts w:ascii="Arial" w:hAnsi="Arial" w:cs="Arial"/>
      <w:b/>
      <w:bCs/>
      <w:sz w:val="24"/>
      <w:szCs w:val="24"/>
      <w:lang w:val="es-ES" w:eastAsia="es-ES"/>
    </w:rPr>
  </w:style>
  <w:style w:type="paragraph" w:styleId="Sangra3detindependiente">
    <w:name w:val="Body Text Indent 3"/>
    <w:basedOn w:val="Normal"/>
    <w:link w:val="Sangra3detindependienteCar"/>
    <w:uiPriority w:val="99"/>
    <w:pPr>
      <w:spacing w:line="360" w:lineRule="auto"/>
      <w:ind w:firstLine="708"/>
    </w:pPr>
  </w:style>
  <w:style w:type="character" w:customStyle="1" w:styleId="Sangra3detindependienteCar">
    <w:name w:val="Sangría 3 de t. independiente Car"/>
    <w:basedOn w:val="Fuentedeprrafopredeter"/>
    <w:link w:val="Sangra3detindependiente"/>
    <w:uiPriority w:val="99"/>
    <w:rPr>
      <w:rFonts w:ascii="Arial" w:hAnsi="Arial" w:cs="Arial"/>
      <w:sz w:val="24"/>
      <w:szCs w:val="24"/>
      <w:lang w:val="es-ES" w:eastAsia="es-ES"/>
    </w:rPr>
  </w:style>
  <w:style w:type="paragraph" w:styleId="Textoindependiente2">
    <w:name w:val="Body Text 2"/>
    <w:basedOn w:val="Normal"/>
    <w:link w:val="Textoindependiente2Car"/>
    <w:uiPriority w:val="99"/>
    <w:pPr>
      <w:spacing w:line="360" w:lineRule="auto"/>
      <w:jc w:val="right"/>
    </w:pPr>
  </w:style>
  <w:style w:type="character" w:customStyle="1" w:styleId="Textoindependiente2Car">
    <w:name w:val="Texto independiente 2 Car"/>
    <w:basedOn w:val="Fuentedeprrafopredeter"/>
    <w:link w:val="Textoindependiente2"/>
    <w:uiPriority w:val="99"/>
    <w:rPr>
      <w:rFonts w:ascii="Arial"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627</Words>
  <Characters>3449</Characters>
  <Application>Microsoft Office Word</Application>
  <DocSecurity>4</DocSecurity>
  <Lines>28</Lines>
  <Paragraphs>8</Paragraphs>
  <ScaleCrop>false</ScaleCrop>
  <HeadingPairs>
    <vt:vector size="2" baseType="variant">
      <vt:variant>
        <vt:lpstr>Título</vt:lpstr>
      </vt:variant>
      <vt:variant>
        <vt:i4>1</vt:i4>
      </vt:variant>
    </vt:vector>
  </HeadingPairs>
  <TitlesOfParts>
    <vt:vector size="1" baseType="lpstr">
      <vt:lpstr>CARPETA N° 2014-17-1-0006117</vt:lpstr>
    </vt:vector>
  </TitlesOfParts>
  <Company>Tribunal de Cuentas</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2014-17-1-0006117</dc:title>
  <dc:subject/>
  <dc:creator>TRIBUNAL1</dc:creator>
  <cp:keywords/>
  <dc:description/>
  <cp:lastModifiedBy>27391107</cp:lastModifiedBy>
  <cp:revision>2</cp:revision>
  <dcterms:created xsi:type="dcterms:W3CDTF">2014-09-19T19:42:00Z</dcterms:created>
  <dcterms:modified xsi:type="dcterms:W3CDTF">2014-09-19T19:42:00Z</dcterms:modified>
</cp:coreProperties>
</file>