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1D8" w:rsidRDefault="000771D8">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0771D8" w:rsidRDefault="000771D8">
      <w:pPr>
        <w:tabs>
          <w:tab w:val="left" w:pos="-720"/>
        </w:tabs>
        <w:suppressAutoHyphens/>
        <w:jc w:val="center"/>
        <w:rPr>
          <w:rFonts w:ascii="Helvetica" w:hAnsi="Helvetica"/>
          <w:b/>
          <w:lang w:val="es-ES_tradnl"/>
        </w:rPr>
      </w:pPr>
    </w:p>
    <w:p w:rsidR="000771D8" w:rsidRDefault="000771D8">
      <w:pPr>
        <w:tabs>
          <w:tab w:val="center" w:pos="4253"/>
        </w:tabs>
        <w:suppressAutoHyphens/>
        <w:jc w:val="center"/>
        <w:rPr>
          <w:rFonts w:ascii="Helvetica" w:hAnsi="Helvetica"/>
          <w:b/>
          <w:lang w:val="es-ES_tradnl"/>
        </w:rPr>
      </w:pPr>
      <w:r>
        <w:rPr>
          <w:rFonts w:ascii="Helvetica" w:hAnsi="Helvetica"/>
          <w:b/>
          <w:lang w:val="es-ES_tradnl"/>
        </w:rPr>
        <w:t>TRIBUNAL DE CUENTAS</w:t>
      </w:r>
    </w:p>
    <w:p w:rsidR="000771D8" w:rsidRDefault="000771D8">
      <w:pPr>
        <w:tabs>
          <w:tab w:val="left" w:pos="-720"/>
        </w:tabs>
        <w:suppressAutoHyphens/>
        <w:jc w:val="center"/>
        <w:rPr>
          <w:rFonts w:ascii="Helvetica" w:hAnsi="Helvetica"/>
          <w:b/>
          <w:lang w:val="es-ES_tradnl"/>
        </w:rPr>
      </w:pPr>
    </w:p>
    <w:p w:rsidR="000771D8" w:rsidRDefault="000771D8">
      <w:pPr>
        <w:tabs>
          <w:tab w:val="center" w:pos="4253"/>
        </w:tabs>
        <w:suppressAutoHyphens/>
        <w:jc w:val="center"/>
        <w:rPr>
          <w:rFonts w:ascii="Helvetica" w:hAnsi="Helvetica"/>
          <w:b/>
          <w:lang w:val="es-ES_tradnl"/>
        </w:rPr>
      </w:pPr>
      <w:r>
        <w:rPr>
          <w:rFonts w:ascii="Helvetica" w:hAnsi="Helvetica"/>
          <w:b/>
          <w:lang w:val="es-ES_tradnl"/>
        </w:rPr>
        <w:t>EN SESION DE FECHA 17 DE SETIEMBRE DE 2014</w:t>
      </w:r>
    </w:p>
    <w:p w:rsidR="000771D8" w:rsidRDefault="000771D8">
      <w:pPr>
        <w:tabs>
          <w:tab w:val="center" w:pos="4253"/>
        </w:tabs>
        <w:suppressAutoHyphens/>
        <w:jc w:val="center"/>
        <w:rPr>
          <w:rFonts w:ascii="Helvetica" w:hAnsi="Helvetica"/>
          <w:b/>
          <w:lang w:val="es-ES_tradnl"/>
        </w:rPr>
      </w:pPr>
    </w:p>
    <w:p w:rsidR="000771D8" w:rsidRPr="000771D8" w:rsidRDefault="000771D8">
      <w:pPr>
        <w:tabs>
          <w:tab w:val="center" w:pos="4253"/>
        </w:tabs>
        <w:suppressAutoHyphens/>
        <w:jc w:val="center"/>
        <w:rPr>
          <w:rFonts w:ascii="Helvetica" w:hAnsi="Helvetica"/>
          <w:b/>
          <w:lang w:val="es-UY"/>
        </w:rPr>
      </w:pPr>
      <w:r w:rsidRPr="000771D8">
        <w:rPr>
          <w:rFonts w:ascii="Helvetica" w:hAnsi="Helvetica"/>
          <w:b/>
          <w:lang w:val="es-UY"/>
        </w:rPr>
        <w:t>(E. E. Nº 2014-17-1-0003710, Ent. N° 2803/14)</w:t>
      </w:r>
    </w:p>
    <w:p w:rsidR="000771D8" w:rsidRPr="000771D8" w:rsidRDefault="000771D8">
      <w:pPr>
        <w:tabs>
          <w:tab w:val="center" w:pos="4253"/>
        </w:tabs>
        <w:suppressAutoHyphens/>
        <w:jc w:val="center"/>
        <w:rPr>
          <w:spacing w:val="-3"/>
          <w:lang w:val="es-UY"/>
        </w:rPr>
      </w:pPr>
    </w:p>
    <w:p w:rsidR="000771D8" w:rsidRPr="000771D8" w:rsidRDefault="000771D8">
      <w:pPr>
        <w:tabs>
          <w:tab w:val="center" w:pos="4253"/>
        </w:tabs>
        <w:suppressAutoHyphens/>
        <w:rPr>
          <w:spacing w:val="-3"/>
          <w:lang w:val="es-UY"/>
        </w:rPr>
      </w:pPr>
    </w:p>
    <w:p w:rsidR="000771D8" w:rsidRDefault="000771D8" w:rsidP="000771D8">
      <w:pPr>
        <w:spacing w:line="360" w:lineRule="auto"/>
        <w:ind w:firstLine="851"/>
        <w:jc w:val="both"/>
      </w:pPr>
      <w:r>
        <w:rPr>
          <w:b/>
          <w:lang w:val="es-ES_tradnl"/>
        </w:rPr>
        <w:t>VISTO:</w:t>
      </w:r>
      <w:r>
        <w:rPr>
          <w:lang w:val="es-ES_tradnl"/>
        </w:rPr>
        <w:t xml:space="preserve"> los estados contables de Primeras Líneas Uruguayas de Navegación Aérea Ente Autónomo (PLUNA EA),</w:t>
      </w:r>
      <w:r>
        <w:t xml:space="preserve"> que comprenden el Estado de Situación Patrimonial al 31 de diciembre de 2013, los correspondientes Estados de Resultados, de Evolución del Patrimonio y de Origen y Aplicación de Fondos por el Ejercicio anual terminado en esa fecha, sus anexos y las notas que los acompañan;</w:t>
      </w:r>
    </w:p>
    <w:p w:rsidR="000771D8" w:rsidRDefault="000771D8" w:rsidP="000771D8">
      <w:pPr>
        <w:spacing w:line="360" w:lineRule="auto"/>
        <w:ind w:firstLine="851"/>
        <w:jc w:val="both"/>
        <w:rPr>
          <w:rFonts w:ascii="Times" w:hAnsi="Times" w:cs="Times"/>
        </w:rPr>
      </w:pPr>
      <w:r>
        <w:rPr>
          <w:b/>
          <w:lang w:val="es-ES_tradnl"/>
        </w:rPr>
        <w:t>RESULTANDO:</w:t>
      </w:r>
      <w:r>
        <w:rPr>
          <w:lang w:val="es-ES_tradnl"/>
        </w:rPr>
        <w:t xml:space="preserve"> </w:t>
      </w:r>
      <w:r>
        <w:rPr>
          <w:rFonts w:cs="Arial"/>
          <w:lang w:val="es-ES_tradnl"/>
        </w:rPr>
        <w:t xml:space="preserve">que los exámenes fueron realizados de </w:t>
      </w:r>
      <w:r>
        <w:rPr>
          <w:rFonts w:cs="Arial"/>
        </w:rPr>
        <w:t>acuerdo con los Principios Fundamentales de Auditoría (ISSAI 100 y 200) y las Directrices de Auditoría Financiera (ISSAI 1000 a 1810) de la Organización Internacional de Entidades Fiscalizadoras Superiores (INTOSAI)</w:t>
      </w:r>
      <w:r>
        <w:rPr>
          <w:rFonts w:ascii="Times" w:hAnsi="Times" w:cs="Times"/>
        </w:rPr>
        <w:t>;</w:t>
      </w:r>
    </w:p>
    <w:p w:rsidR="000771D8" w:rsidRDefault="000771D8" w:rsidP="000771D8">
      <w:pPr>
        <w:spacing w:line="360" w:lineRule="auto"/>
        <w:ind w:firstLine="851"/>
        <w:jc w:val="both"/>
        <w:rPr>
          <w:lang w:val="es-ES_tradnl"/>
        </w:rPr>
      </w:pPr>
      <w:r>
        <w:rPr>
          <w:b/>
          <w:lang w:val="es-ES_tradnl"/>
        </w:rPr>
        <w:t>CONSIDERANDO:</w:t>
      </w:r>
      <w:r>
        <w:rPr>
          <w:lang w:val="es-ES_tradnl"/>
        </w:rPr>
        <w:t xml:space="preserve"> que las conclusiones y evidencias obtenidas son las que se expresan en el Informe de Auditoría, que incluye Dictamen e Informe a la Administración;</w:t>
      </w:r>
    </w:p>
    <w:p w:rsidR="000771D8" w:rsidRDefault="000771D8" w:rsidP="000771D8">
      <w:pPr>
        <w:spacing w:line="360" w:lineRule="auto"/>
        <w:ind w:firstLine="851"/>
        <w:jc w:val="both"/>
        <w:rPr>
          <w:lang w:val="es-ES_tradnl"/>
        </w:rPr>
      </w:pPr>
      <w:r>
        <w:rPr>
          <w:b/>
          <w:lang w:val="es-ES_tradnl"/>
        </w:rPr>
        <w:t>ATENTO:</w:t>
      </w:r>
      <w:r>
        <w:rPr>
          <w:lang w:val="es-ES_tradnl"/>
        </w:rPr>
        <w:t xml:space="preserve"> a lo dispuesto por el Artículo 211 Literal C) de la Constitución de la República;</w:t>
      </w:r>
    </w:p>
    <w:p w:rsidR="000771D8" w:rsidRDefault="000771D8" w:rsidP="000771D8">
      <w:pPr>
        <w:spacing w:line="360" w:lineRule="auto"/>
        <w:jc w:val="center"/>
        <w:rPr>
          <w:b/>
          <w:lang w:val="es-ES_tradnl"/>
        </w:rPr>
      </w:pPr>
      <w:r>
        <w:rPr>
          <w:b/>
          <w:lang w:val="es-ES_tradnl"/>
        </w:rPr>
        <w:t>EL TRIBUNAL ACUERDA</w:t>
      </w:r>
    </w:p>
    <w:p w:rsidR="000771D8" w:rsidRDefault="000771D8" w:rsidP="000771D8">
      <w:pPr>
        <w:numPr>
          <w:ilvl w:val="0"/>
          <w:numId w:val="1"/>
        </w:numPr>
        <w:spacing w:line="360" w:lineRule="auto"/>
        <w:jc w:val="both"/>
        <w:rPr>
          <w:lang w:val="es-ES_tradnl"/>
        </w:rPr>
      </w:pPr>
      <w:r>
        <w:rPr>
          <w:lang w:val="es-ES_tradnl"/>
        </w:rPr>
        <w:t>Expedirse en los términos del Informe de Auditoría que se adjunta;</w:t>
      </w:r>
    </w:p>
    <w:p w:rsidR="000771D8" w:rsidRDefault="000771D8" w:rsidP="000771D8">
      <w:pPr>
        <w:numPr>
          <w:ilvl w:val="0"/>
          <w:numId w:val="1"/>
        </w:numPr>
        <w:spacing w:line="360" w:lineRule="auto"/>
        <w:jc w:val="both"/>
        <w:rPr>
          <w:lang w:val="es-ES_tradnl"/>
        </w:rPr>
      </w:pPr>
      <w:r>
        <w:rPr>
          <w:lang w:val="es-ES_tradnl"/>
        </w:rPr>
        <w:t>Publicar el Balance con el correspondiente Dictamen del Tribunal de Cuentas, de acuerdo con lo dispuesto por el Artículo 1 de la Ley N° 17.040;</w:t>
      </w:r>
    </w:p>
    <w:p w:rsidR="000771D8" w:rsidRDefault="000771D8" w:rsidP="000771D8">
      <w:pPr>
        <w:numPr>
          <w:ilvl w:val="0"/>
          <w:numId w:val="1"/>
        </w:numPr>
        <w:spacing w:line="360" w:lineRule="auto"/>
        <w:jc w:val="both"/>
        <w:rPr>
          <w:lang w:val="es-ES_tradnl"/>
        </w:rPr>
      </w:pPr>
      <w:r>
        <w:rPr>
          <w:lang w:val="es-ES_tradnl"/>
        </w:rPr>
        <w:t>Comunicar la presente Resolución al Ministerio de Transporte y Obras Públicas, al Organismo y a la Oficina de Planeamiento y Presupuesto; y</w:t>
      </w:r>
    </w:p>
    <w:p w:rsidR="00500CC0" w:rsidRDefault="000771D8" w:rsidP="000771D8">
      <w:pPr>
        <w:numPr>
          <w:ilvl w:val="0"/>
          <w:numId w:val="1"/>
        </w:numPr>
        <w:spacing w:line="360" w:lineRule="auto"/>
        <w:jc w:val="both"/>
      </w:pPr>
      <w:r>
        <w:t>Da</w:t>
      </w:r>
      <w:r w:rsidR="00500CC0">
        <w:t>r cuenta a la Asamblea General.</w:t>
      </w:r>
    </w:p>
    <w:p w:rsidR="00500CC0" w:rsidRDefault="00500CC0" w:rsidP="00500CC0">
      <w:pPr>
        <w:spacing w:line="360" w:lineRule="auto"/>
        <w:jc w:val="both"/>
      </w:pPr>
    </w:p>
    <w:p w:rsidR="00500CC0" w:rsidRDefault="00500CC0" w:rsidP="00500CC0">
      <w:pPr>
        <w:spacing w:line="360" w:lineRule="auto"/>
        <w:jc w:val="both"/>
      </w:pPr>
    </w:p>
    <w:p w:rsidR="00500CC0" w:rsidRDefault="00500CC0">
      <w:pPr>
        <w:pStyle w:val="Ttulo"/>
        <w:rPr>
          <w:sz w:val="24"/>
        </w:rPr>
      </w:pPr>
      <w:r>
        <w:rPr>
          <w:sz w:val="24"/>
        </w:rPr>
        <w:lastRenderedPageBreak/>
        <w:t>DICTAMEN</w:t>
      </w:r>
    </w:p>
    <w:p w:rsidR="00500CC0" w:rsidRDefault="00500CC0">
      <w:pPr>
        <w:pStyle w:val="Ttulo"/>
        <w:rPr>
          <w:sz w:val="24"/>
        </w:rPr>
      </w:pPr>
    </w:p>
    <w:p w:rsidR="00500CC0" w:rsidRDefault="00500CC0">
      <w:pPr>
        <w:pStyle w:val="Ttulo"/>
        <w:jc w:val="both"/>
        <w:rPr>
          <w:sz w:val="24"/>
        </w:rPr>
      </w:pPr>
    </w:p>
    <w:p w:rsidR="00500CC0" w:rsidRDefault="00500CC0" w:rsidP="00500CC0">
      <w:pPr>
        <w:widowControl w:val="0"/>
        <w:spacing w:line="360" w:lineRule="auto"/>
        <w:ind w:firstLine="851"/>
        <w:jc w:val="both"/>
        <w:rPr>
          <w:rFonts w:cs="Arial"/>
        </w:rPr>
      </w:pPr>
      <w:r>
        <w:rPr>
          <w:rFonts w:cs="Arial"/>
        </w:rPr>
        <w:t xml:space="preserve">El Tribunal de Cuentas ha examinado los estados financieros de </w:t>
      </w:r>
      <w:r>
        <w:rPr>
          <w:lang w:val="es-ES_tradnl"/>
        </w:rPr>
        <w:t>Primeras Líneas Uruguayas de Navegación Aérea Ente Autónomo (PLUNA EA)</w:t>
      </w:r>
      <w:r>
        <w:rPr>
          <w:rFonts w:cs="Arial"/>
        </w:rPr>
        <w:t>, que comprenden el Estado de Situación Patrimonial al 31 de diciembre de 2013, los correspondientes Estados de Resultados, de Flujos de Efectivo y de Evolución del Patrimonio por el Ejercicio anual finalizado en esa fecha, los Anexos y las notas de políticas contables significativas y otras notas explicativas a los estados financieros.</w:t>
      </w:r>
    </w:p>
    <w:p w:rsidR="00500CC0" w:rsidRDefault="00500CC0" w:rsidP="00500CC0">
      <w:pPr>
        <w:pStyle w:val="Textoindependiente3"/>
        <w:widowControl w:val="0"/>
        <w:spacing w:line="360" w:lineRule="auto"/>
        <w:ind w:firstLine="851"/>
        <w:jc w:val="both"/>
        <w:rPr>
          <w:bCs/>
          <w:sz w:val="24"/>
          <w:szCs w:val="24"/>
        </w:rPr>
      </w:pPr>
      <w:r>
        <w:rPr>
          <w:bCs/>
          <w:sz w:val="24"/>
          <w:szCs w:val="24"/>
        </w:rPr>
        <w:t>El Tribunal de Cuentas también ha auditado el cumplimiento por parte de PLUNA EA de las disposiciones legales vigentes relacionadas con los estados financieros objeto de examen.</w:t>
      </w:r>
    </w:p>
    <w:p w:rsidR="00500CC0" w:rsidRDefault="00500CC0"/>
    <w:p w:rsidR="00500CC0" w:rsidRDefault="00500CC0">
      <w:pPr>
        <w:widowControl w:val="0"/>
        <w:spacing w:line="360" w:lineRule="auto"/>
        <w:jc w:val="both"/>
        <w:rPr>
          <w:rFonts w:cs="Arial"/>
          <w:b/>
        </w:rPr>
      </w:pPr>
      <w:r>
        <w:rPr>
          <w:rFonts w:cs="Arial"/>
          <w:b/>
        </w:rPr>
        <w:t>Responsabilidad de la Dirección por los estados financieros</w:t>
      </w:r>
    </w:p>
    <w:p w:rsidR="00500CC0" w:rsidRDefault="00500CC0" w:rsidP="00500CC0">
      <w:pPr>
        <w:widowControl w:val="0"/>
        <w:spacing w:line="360" w:lineRule="auto"/>
        <w:ind w:firstLine="851"/>
        <w:jc w:val="both"/>
        <w:rPr>
          <w:rFonts w:cs="Arial"/>
        </w:rPr>
      </w:pPr>
      <w:r>
        <w:rPr>
          <w:rFonts w:cs="Arial"/>
        </w:rPr>
        <w:t xml:space="preserve">La Dirección de </w:t>
      </w:r>
      <w:r>
        <w:rPr>
          <w:lang w:val="es-ES_tradnl"/>
        </w:rPr>
        <w:t>PLUNA EA</w:t>
      </w:r>
      <w:r>
        <w:rPr>
          <w:rFonts w:cs="Arial"/>
        </w:rPr>
        <w:t xml:space="preserve"> es responsable por la preparación y la razonable presentación de estos estados financieros de acuerdo con las normas contables adecuadas en el Uruguay y la Ordenanza Nº 81 del Tribunal de Cuentas.</w:t>
      </w:r>
    </w:p>
    <w:p w:rsidR="00500CC0" w:rsidRDefault="00500CC0" w:rsidP="00500CC0">
      <w:pPr>
        <w:spacing w:line="360" w:lineRule="auto"/>
        <w:ind w:firstLine="851"/>
        <w:jc w:val="both"/>
        <w:rPr>
          <w:rFonts w:cs="Arial"/>
        </w:rPr>
      </w:pPr>
      <w:r>
        <w:rPr>
          <w:rFonts w:cs="Arial"/>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500CC0" w:rsidRDefault="00500CC0">
      <w:pPr>
        <w:spacing w:line="360" w:lineRule="auto"/>
        <w:jc w:val="both"/>
        <w:rPr>
          <w:rFonts w:cs="Arial"/>
        </w:rPr>
      </w:pPr>
    </w:p>
    <w:p w:rsidR="00500CC0" w:rsidRDefault="00500CC0">
      <w:pPr>
        <w:widowControl w:val="0"/>
        <w:spacing w:line="360" w:lineRule="auto"/>
        <w:jc w:val="both"/>
        <w:rPr>
          <w:rFonts w:cs="Arial"/>
          <w:b/>
        </w:rPr>
      </w:pPr>
      <w:r>
        <w:rPr>
          <w:rFonts w:cs="Arial"/>
          <w:b/>
        </w:rPr>
        <w:t>Responsabilidad del auditor</w:t>
      </w:r>
    </w:p>
    <w:p w:rsidR="00500CC0" w:rsidRDefault="00500CC0" w:rsidP="00500CC0">
      <w:pPr>
        <w:widowControl w:val="0"/>
        <w:spacing w:line="360" w:lineRule="auto"/>
        <w:ind w:firstLine="851"/>
        <w:jc w:val="both"/>
      </w:pPr>
      <w:r>
        <w:rPr>
          <w:rFonts w:cs="Arial"/>
          <w:bCs/>
        </w:rPr>
        <w:t>La responsabilidad del Tribunal</w:t>
      </w:r>
      <w:r>
        <w:t xml:space="preserve"> de Cuentas es expresar una opinión sobre dichos estados financieros basada en la auditoría. Esta auditoría fue practicada de acuerdo con los Principios Fundamentales de Auditoría (ISSAI 100 y 200) y las Directrices de Auditoría Financiera (ISSAI 1000 a 1810) de la Organización Internacional de Entidades Fiscalizadoras Superiores (INTOSAI).</w:t>
      </w:r>
    </w:p>
    <w:p w:rsidR="00500CC0" w:rsidRDefault="00500CC0" w:rsidP="00500CC0">
      <w:pPr>
        <w:widowControl w:val="0"/>
        <w:spacing w:line="360" w:lineRule="auto"/>
        <w:ind w:firstLine="851"/>
        <w:jc w:val="both"/>
      </w:pPr>
      <w:r>
        <w:t>Estas normas requieren que se cumpla con requisitos éticos, se planifique y se realice la auditoría para obtener seguridad razonable acerca de si los estados financieros están libres de errores significativos.</w:t>
      </w:r>
    </w:p>
    <w:p w:rsidR="00500CC0" w:rsidRDefault="00500CC0" w:rsidP="00500CC0">
      <w:pPr>
        <w:widowControl w:val="0"/>
        <w:spacing w:line="360" w:lineRule="auto"/>
        <w:ind w:firstLine="851"/>
        <w:jc w:val="both"/>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500CC0" w:rsidRDefault="00500CC0" w:rsidP="00500CC0">
      <w:pPr>
        <w:spacing w:after="260" w:line="360" w:lineRule="auto"/>
        <w:ind w:firstLine="851"/>
        <w:jc w:val="both"/>
      </w:pPr>
      <w:r>
        <w:t>Se considera que la evidencia de auditoría obtenida brinda una base suficiente y apropiada para sustentar la opinión.</w:t>
      </w:r>
    </w:p>
    <w:p w:rsidR="00500CC0" w:rsidRDefault="00500CC0" w:rsidP="00500CC0">
      <w:pPr>
        <w:pStyle w:val="Ttulo1"/>
        <w:spacing w:after="0"/>
      </w:pPr>
      <w:r>
        <w:t>Opinión</w:t>
      </w:r>
    </w:p>
    <w:p w:rsidR="00500CC0" w:rsidRDefault="00500CC0" w:rsidP="00500CC0">
      <w:pPr>
        <w:widowControl w:val="0"/>
        <w:spacing w:line="360" w:lineRule="auto"/>
        <w:ind w:firstLine="851"/>
        <w:jc w:val="both"/>
      </w:pPr>
      <w:r>
        <w:t xml:space="preserve">En opinión del Tribunal de Cuentas, los estados financieros referidos precedentemente presentan razonablemente, en todos sus aspectos importantes, la situación patrimonial de PLUNA EA al 31 de diciembre de 2013, los resultados de sus operaciones y los flujos de efectivo correspondientes al Ejercicio anual terminado en esa fecha, de acuerdo con normas contables adecuadas en Uruguay y la Ordenanza Nº 81 </w:t>
      </w:r>
      <w:r>
        <w:rPr>
          <w:rFonts w:cs="Arial"/>
        </w:rPr>
        <w:t>del Tribunal de Cuentas de la República Oriental del Uruguay.</w:t>
      </w:r>
    </w:p>
    <w:p w:rsidR="00500CC0" w:rsidRDefault="00500CC0" w:rsidP="00500CC0">
      <w:pPr>
        <w:widowControl w:val="0"/>
        <w:tabs>
          <w:tab w:val="num" w:pos="360"/>
          <w:tab w:val="num" w:pos="1080"/>
        </w:tabs>
        <w:spacing w:line="360" w:lineRule="auto"/>
        <w:ind w:firstLine="851"/>
        <w:jc w:val="both"/>
        <w:rPr>
          <w:rFonts w:cs="Arial"/>
          <w:bCs/>
          <w:spacing w:val="-1"/>
          <w:lang w:val="es-ES_tradnl"/>
        </w:rPr>
      </w:pPr>
      <w:r w:rsidRPr="0020769A">
        <w:rPr>
          <w:rFonts w:cs="Arial"/>
          <w:bCs/>
          <w:spacing w:val="-1"/>
          <w:lang w:val="es-ES_tradnl"/>
        </w:rPr>
        <w:t xml:space="preserve">Con relación a las disposiciones legales y reglamentarias, </w:t>
      </w:r>
      <w:r>
        <w:rPr>
          <w:rFonts w:cs="Arial"/>
          <w:bCs/>
          <w:spacing w:val="-1"/>
          <w:lang w:val="es-ES_tradnl"/>
        </w:rPr>
        <w:t>PLUNA EA no ha dado cumplimiento a:</w:t>
      </w:r>
    </w:p>
    <w:p w:rsidR="00DD1C1C" w:rsidRDefault="00DD1C1C" w:rsidP="00500CC0">
      <w:pPr>
        <w:widowControl w:val="0"/>
        <w:tabs>
          <w:tab w:val="num" w:pos="360"/>
          <w:tab w:val="num" w:pos="1080"/>
        </w:tabs>
        <w:spacing w:line="360" w:lineRule="auto"/>
        <w:ind w:firstLine="851"/>
        <w:jc w:val="both"/>
        <w:rPr>
          <w:rFonts w:cs="Arial"/>
          <w:bCs/>
          <w:spacing w:val="-1"/>
          <w:lang w:val="es-ES_tradnl"/>
        </w:rPr>
      </w:pPr>
    </w:p>
    <w:p w:rsidR="00500CC0" w:rsidRPr="00104141" w:rsidRDefault="00500CC0" w:rsidP="00500CC0">
      <w:pPr>
        <w:widowControl w:val="0"/>
        <w:numPr>
          <w:ilvl w:val="0"/>
          <w:numId w:val="2"/>
        </w:numPr>
        <w:tabs>
          <w:tab w:val="left" w:pos="360"/>
        </w:tabs>
        <w:spacing w:line="360" w:lineRule="auto"/>
        <w:ind w:left="284" w:hanging="284"/>
        <w:jc w:val="both"/>
        <w:rPr>
          <w:rFonts w:cs="Arial"/>
          <w:b/>
          <w:bCs/>
          <w:spacing w:val="-1"/>
          <w:lang w:val="es-ES_tradnl"/>
        </w:rPr>
      </w:pPr>
      <w:r w:rsidRPr="00104141">
        <w:rPr>
          <w:rFonts w:cs="Arial"/>
          <w:b/>
          <w:bCs/>
          <w:spacing w:val="-1"/>
          <w:lang w:val="es-ES_tradnl"/>
        </w:rPr>
        <w:t>Artículo No. 32 de la  Ordenanza N° 81 de fecha 17/12/02 (Presentación de los Estados Contables)</w:t>
      </w:r>
    </w:p>
    <w:p w:rsidR="00500CC0" w:rsidRPr="00104141" w:rsidRDefault="00500CC0" w:rsidP="00500CC0">
      <w:pPr>
        <w:widowControl w:val="0"/>
        <w:tabs>
          <w:tab w:val="num" w:pos="780"/>
          <w:tab w:val="num" w:pos="1080"/>
        </w:tabs>
        <w:spacing w:line="360" w:lineRule="auto"/>
        <w:ind w:firstLine="851"/>
        <w:jc w:val="both"/>
        <w:rPr>
          <w:rFonts w:cs="Arial"/>
          <w:spacing w:val="-1"/>
          <w:lang w:val="es-ES_tradnl"/>
        </w:rPr>
      </w:pPr>
      <w:r w:rsidRPr="00104141">
        <w:rPr>
          <w:rFonts w:cs="Arial"/>
          <w:spacing w:val="-1"/>
          <w:lang w:val="es-ES_tradnl"/>
        </w:rPr>
        <w:t xml:space="preserve">Los estados financieros de </w:t>
      </w:r>
      <w:r>
        <w:rPr>
          <w:rFonts w:cs="Arial"/>
          <w:spacing w:val="-1"/>
          <w:lang w:val="es-ES_tradnl"/>
        </w:rPr>
        <w:t>PLUNA EA</w:t>
      </w:r>
      <w:r w:rsidRPr="00104141">
        <w:rPr>
          <w:rFonts w:cs="Arial"/>
          <w:spacing w:val="-1"/>
          <w:lang w:val="es-ES_tradnl"/>
        </w:rPr>
        <w:t xml:space="preserve"> fueron remitidos a este Tribunal el </w:t>
      </w:r>
      <w:r>
        <w:rPr>
          <w:rFonts w:cs="Arial"/>
          <w:spacing w:val="-1"/>
          <w:lang w:val="es-ES_tradnl"/>
        </w:rPr>
        <w:t>09/05/14</w:t>
      </w:r>
      <w:r w:rsidRPr="00104141">
        <w:rPr>
          <w:rFonts w:cs="Arial"/>
          <w:spacing w:val="-1"/>
          <w:lang w:val="es-ES_tradnl"/>
        </w:rPr>
        <w:t>, fuera del plazo establecido por la Ordenanza.</w:t>
      </w:r>
    </w:p>
    <w:p w:rsidR="00500CC0" w:rsidRDefault="00500CC0">
      <w:pPr>
        <w:pStyle w:val="Sangradetextonormal"/>
        <w:spacing w:line="360" w:lineRule="auto"/>
        <w:jc w:val="right"/>
      </w:pPr>
      <w:r>
        <w:t>Montevideo, 7 de agosto de 2014</w:t>
      </w:r>
    </w:p>
    <w:p w:rsidR="00500CC0" w:rsidRDefault="00500CC0">
      <w:pPr>
        <w:pStyle w:val="Sangradetextonormal"/>
        <w:spacing w:line="360" w:lineRule="auto"/>
        <w:jc w:val="right"/>
      </w:pPr>
    </w:p>
    <w:p w:rsidR="00500CC0" w:rsidRDefault="00500CC0">
      <w:pPr>
        <w:pStyle w:val="Sangradetextonormal"/>
        <w:spacing w:line="360" w:lineRule="auto"/>
        <w:jc w:val="right"/>
      </w:pPr>
    </w:p>
    <w:p w:rsidR="00500CC0" w:rsidRDefault="00500CC0" w:rsidP="00500CC0">
      <w:pPr>
        <w:pStyle w:val="Ttulo2"/>
      </w:pPr>
      <w:r>
        <w:t>INFORME A LA ADMINISTRACION</w:t>
      </w:r>
    </w:p>
    <w:p w:rsidR="00500CC0" w:rsidRPr="00E16317" w:rsidRDefault="00500CC0" w:rsidP="00500CC0"/>
    <w:p w:rsidR="00500CC0" w:rsidRDefault="00500CC0" w:rsidP="00500CC0">
      <w:pPr>
        <w:pStyle w:val="Textoindependiente2"/>
        <w:ind w:firstLine="708"/>
      </w:pPr>
    </w:p>
    <w:p w:rsidR="00500CC0" w:rsidRDefault="00500CC0" w:rsidP="00500CC0">
      <w:pPr>
        <w:pStyle w:val="Textoindependiente"/>
        <w:spacing w:line="360" w:lineRule="auto"/>
        <w:ind w:firstLine="851"/>
        <w:jc w:val="both"/>
        <w:rPr>
          <w:rFonts w:ascii="Arial" w:hAnsi="Arial" w:cs="Arial"/>
        </w:rPr>
      </w:pPr>
      <w:r>
        <w:rPr>
          <w:rFonts w:ascii="Arial" w:hAnsi="Arial" w:cs="Arial"/>
        </w:rPr>
        <w:t>El Tribunal de Cuentas ha examinado los estados financieros de Primeras Líneas Uruguayas de Navegación Aérea Ente Autónomo (PLUNA EA), por el Ejercicio anual terminado el 31/12/13 y ha emitido su Dictamen.</w:t>
      </w:r>
    </w:p>
    <w:p w:rsidR="00500CC0" w:rsidRDefault="00500CC0" w:rsidP="00500CC0">
      <w:pPr>
        <w:pStyle w:val="Textoindependiente2"/>
        <w:ind w:firstLine="851"/>
        <w:rPr>
          <w:rFonts w:cs="Arial"/>
          <w:lang w:val="es-ES"/>
        </w:rPr>
      </w:pPr>
      <w:r>
        <w:rPr>
          <w:rFonts w:cs="Arial"/>
          <w:lang w:val="es-ES"/>
        </w:rPr>
        <w:t>Este Informe contiene consideraciones relativas a la evaluación del sistema de control interno. Se incluyen, además, comentarios que se ha entendido conveniente exponer, relacionados con la situación de determinados capítulos y rubros de los estados examinados y con disposiciones legales vigentes.</w:t>
      </w:r>
    </w:p>
    <w:p w:rsidR="00500CC0" w:rsidRDefault="00500CC0" w:rsidP="00500CC0">
      <w:pPr>
        <w:pStyle w:val="Textoindependiente2"/>
        <w:ind w:firstLine="851"/>
        <w:rPr>
          <w:rFonts w:cs="Arial"/>
          <w:lang w:val="es-ES"/>
        </w:rPr>
      </w:pPr>
      <w:r>
        <w:rPr>
          <w:rFonts w:cs="Arial"/>
          <w:lang w:val="es-ES"/>
        </w:rPr>
        <w:t>También se agregan las principales recomendaciones que deberá atender el Organismo y una evaluación del cumplimiento de las recomendaciones presentadas en el Informe de Auditoría del ejercicio anterior.</w:t>
      </w:r>
    </w:p>
    <w:p w:rsidR="00500CC0" w:rsidRDefault="00500CC0" w:rsidP="00500CC0">
      <w:pPr>
        <w:widowControl w:val="0"/>
        <w:spacing w:line="360" w:lineRule="auto"/>
        <w:ind w:left="357"/>
        <w:jc w:val="both"/>
        <w:rPr>
          <w:rFonts w:cs="Arial"/>
          <w:b/>
          <w:lang w:val="es-ES_tradnl"/>
        </w:rPr>
      </w:pPr>
    </w:p>
    <w:p w:rsidR="00500CC0" w:rsidRPr="00525A89" w:rsidRDefault="00500CC0" w:rsidP="00500CC0">
      <w:pPr>
        <w:pStyle w:val="Prrafodelista"/>
        <w:widowControl w:val="0"/>
        <w:numPr>
          <w:ilvl w:val="0"/>
          <w:numId w:val="7"/>
        </w:numPr>
        <w:spacing w:line="360" w:lineRule="auto"/>
        <w:jc w:val="both"/>
        <w:rPr>
          <w:rFonts w:cs="Arial"/>
          <w:b/>
          <w:lang w:val="es-ES_tradnl"/>
        </w:rPr>
      </w:pPr>
      <w:r w:rsidRPr="00525A89">
        <w:rPr>
          <w:rFonts w:cs="Arial"/>
          <w:b/>
          <w:lang w:val="es-ES_tradnl"/>
        </w:rPr>
        <w:t xml:space="preserve">Presentación de los Estados </w:t>
      </w:r>
    </w:p>
    <w:p w:rsidR="00500CC0" w:rsidRDefault="00500CC0" w:rsidP="00500CC0">
      <w:pPr>
        <w:widowControl w:val="0"/>
        <w:tabs>
          <w:tab w:val="left" w:pos="0"/>
        </w:tabs>
        <w:spacing w:line="360" w:lineRule="auto"/>
        <w:ind w:firstLine="851"/>
        <w:jc w:val="both"/>
        <w:rPr>
          <w:rFonts w:cs="Arial"/>
        </w:rPr>
      </w:pPr>
      <w:r>
        <w:rPr>
          <w:rFonts w:cs="Arial"/>
          <w:lang w:val="es-ES_tradnl"/>
        </w:rPr>
        <w:t xml:space="preserve">Los Estados Financieros de PLUNA EA correspondientes al Ejercicio finalizado el 31 de diciembre de 2013, fueron aprobados por Resolución de Directorio </w:t>
      </w:r>
      <w:r>
        <w:rPr>
          <w:lang w:val="es-ES_tradnl"/>
        </w:rPr>
        <w:t>Nº 16.316, de fecha 9 de abril de 2014</w:t>
      </w:r>
      <w:r w:rsidRPr="00A77901">
        <w:rPr>
          <w:rFonts w:cs="Arial"/>
        </w:rPr>
        <w:t xml:space="preserve"> </w:t>
      </w:r>
      <w:r>
        <w:rPr>
          <w:rFonts w:cs="Arial"/>
        </w:rPr>
        <w:t>y remitidos para su examen el 9 de mayo de 2014, fuera del plazo establecido en el Artículo 32 de la Ordenanza N° 81 del Tribunal de Cuentas.</w:t>
      </w:r>
    </w:p>
    <w:p w:rsidR="00500CC0" w:rsidRDefault="00500CC0" w:rsidP="00500CC0">
      <w:pPr>
        <w:widowControl w:val="0"/>
        <w:tabs>
          <w:tab w:val="left" w:pos="0"/>
        </w:tabs>
        <w:spacing w:line="360" w:lineRule="auto"/>
        <w:ind w:firstLine="851"/>
        <w:jc w:val="both"/>
      </w:pPr>
      <w:r>
        <w:t>Dichos estados se confeccionaron siguiendo las normas contables adecuadas en el Uruguay y los criterios establecidos en dicha Ordenanza.</w:t>
      </w:r>
    </w:p>
    <w:p w:rsidR="00500CC0" w:rsidRDefault="00500CC0" w:rsidP="00500CC0">
      <w:pPr>
        <w:widowControl w:val="0"/>
        <w:tabs>
          <w:tab w:val="left" w:pos="0"/>
        </w:tabs>
        <w:spacing w:line="360" w:lineRule="auto"/>
        <w:ind w:firstLine="851"/>
        <w:jc w:val="both"/>
        <w:rPr>
          <w:rFonts w:cs="Arial"/>
        </w:rPr>
      </w:pPr>
      <w:r>
        <w:rPr>
          <w:rFonts w:cs="Arial"/>
        </w:rPr>
        <w:t>Al respecto corresponde señalar que se atendieron por el Ente los hallazgos expuestos en el Informe a la Administración del Ejercicio 2012, que determinaron un Dictamen adverso.</w:t>
      </w:r>
    </w:p>
    <w:p w:rsidR="00500CC0" w:rsidRDefault="00500CC0" w:rsidP="00500CC0">
      <w:pPr>
        <w:widowControl w:val="0"/>
        <w:tabs>
          <w:tab w:val="left" w:pos="0"/>
        </w:tabs>
        <w:spacing w:line="360" w:lineRule="auto"/>
        <w:ind w:firstLine="851"/>
        <w:jc w:val="both"/>
        <w:rPr>
          <w:rFonts w:cs="Arial"/>
        </w:rPr>
      </w:pPr>
      <w:r>
        <w:rPr>
          <w:rFonts w:cs="Arial"/>
        </w:rPr>
        <w:t>En ese sentido, en el Ejercicio 2013, el Ente procedió a:</w:t>
      </w:r>
    </w:p>
    <w:p w:rsidR="00500CC0" w:rsidRPr="00165FF7" w:rsidRDefault="00500CC0" w:rsidP="00500CC0">
      <w:pPr>
        <w:pStyle w:val="Sangradetextonormal"/>
        <w:tabs>
          <w:tab w:val="left" w:pos="284"/>
        </w:tabs>
        <w:spacing w:line="360" w:lineRule="auto"/>
        <w:ind w:left="0"/>
        <w:jc w:val="both"/>
        <w:rPr>
          <w:lang w:val="es-ES_tradnl"/>
        </w:rPr>
      </w:pPr>
      <w:r w:rsidRPr="00165FF7">
        <w:rPr>
          <w:bCs/>
          <w:lang w:val="es-ES_tradnl"/>
        </w:rPr>
        <w:t>Reconocer</w:t>
      </w:r>
      <w:r>
        <w:rPr>
          <w:bCs/>
          <w:lang w:val="es-ES_tradnl"/>
        </w:rPr>
        <w:t xml:space="preserve">  provisio</w:t>
      </w:r>
      <w:r w:rsidRPr="00165FF7">
        <w:rPr>
          <w:bCs/>
          <w:lang w:val="es-ES_tradnl"/>
        </w:rPr>
        <w:t>nes  por participación en Pluna SA tal como lo establece la NIC 37.</w:t>
      </w:r>
    </w:p>
    <w:p w:rsidR="00500CC0" w:rsidRDefault="00500CC0" w:rsidP="00500CC0">
      <w:pPr>
        <w:pStyle w:val="Sangradetextonormal"/>
        <w:tabs>
          <w:tab w:val="left" w:pos="284"/>
        </w:tabs>
        <w:spacing w:line="360" w:lineRule="auto"/>
        <w:jc w:val="both"/>
        <w:rPr>
          <w:bCs/>
          <w:lang w:val="es-ES_tradnl"/>
        </w:rPr>
      </w:pPr>
    </w:p>
    <w:p w:rsidR="00500CC0" w:rsidRDefault="00500CC0" w:rsidP="00500CC0">
      <w:pPr>
        <w:pStyle w:val="Sangra3detindependiente"/>
        <w:numPr>
          <w:ilvl w:val="0"/>
          <w:numId w:val="7"/>
        </w:numPr>
        <w:tabs>
          <w:tab w:val="left" w:pos="0"/>
          <w:tab w:val="num" w:pos="709"/>
          <w:tab w:val="left" w:pos="851"/>
        </w:tabs>
        <w:spacing w:line="360" w:lineRule="auto"/>
        <w:rPr>
          <w:b/>
          <w:bCs/>
        </w:rPr>
      </w:pPr>
      <w:r>
        <w:rPr>
          <w:b/>
          <w:bCs/>
          <w:lang w:val="es-ES_tradnl"/>
        </w:rPr>
        <w:t xml:space="preserve">Otras situaciones constatadas </w:t>
      </w:r>
    </w:p>
    <w:p w:rsidR="00500CC0" w:rsidRDefault="00500CC0" w:rsidP="00500CC0">
      <w:pPr>
        <w:pStyle w:val="Textoindependiente2"/>
      </w:pPr>
      <w:r>
        <w:rPr>
          <w:rFonts w:cs="Arial"/>
          <w:b/>
          <w:spacing w:val="-1"/>
          <w:lang w:val="es-ES"/>
        </w:rPr>
        <w:t>2</w:t>
      </w:r>
      <w:r>
        <w:rPr>
          <w:rFonts w:cs="Arial"/>
          <w:b/>
          <w:spacing w:val="-1"/>
        </w:rPr>
        <w:t xml:space="preserve">.1 </w:t>
      </w:r>
      <w:r w:rsidRPr="00ED3737">
        <w:rPr>
          <w:rFonts w:cs="Arial"/>
          <w:spacing w:val="-1"/>
        </w:rPr>
        <w:t>L</w:t>
      </w:r>
      <w:r>
        <w:t xml:space="preserve">os fondos de terceros correspondientes a las cobranzas por “Convenio Martinelli” que al cierre del Ejercicio no fueron depositados en la cuenta corriente del Ente, deben presentarse en los estados contables en la cuenta “Fondos de 3os a depositar”. </w:t>
      </w:r>
    </w:p>
    <w:p w:rsidR="00500CC0" w:rsidRDefault="00500CC0" w:rsidP="00500CC0">
      <w:pPr>
        <w:pStyle w:val="Textoindependiente2"/>
      </w:pPr>
    </w:p>
    <w:p w:rsidR="00500CC0" w:rsidRDefault="00500CC0" w:rsidP="00500CC0">
      <w:pPr>
        <w:pStyle w:val="Sangra2detindependiente"/>
        <w:tabs>
          <w:tab w:val="left" w:pos="567"/>
        </w:tabs>
        <w:suppressAutoHyphens/>
        <w:ind w:left="0"/>
      </w:pPr>
      <w:r>
        <w:rPr>
          <w:b/>
          <w:bCs/>
          <w:lang w:val="es-ES_tradnl"/>
        </w:rPr>
        <w:t>2</w:t>
      </w:r>
      <w:r>
        <w:rPr>
          <w:b/>
          <w:bCs/>
        </w:rPr>
        <w:t>.2</w:t>
      </w:r>
      <w:r>
        <w:t xml:space="preserve"> Los bienes integrantes del activo fijo se amortizan al año siguiente de su incorporación, asignándole a todos ellos la misma vida útil, por lo que las afirmaciones contenidas en la nota 2.2.e) no son correctas: “Las amortizaciones se calculan linealmente a partir del mes siguiente al de incorporación de los bienes en base a periodos de vida útil estimados técnicamente…” El Ente no hace una revisión periódica de la vida útil de los elementos que integran el activo fijo como lo dispone la NIC 16.</w:t>
      </w:r>
    </w:p>
    <w:p w:rsidR="00500CC0" w:rsidRDefault="00500CC0" w:rsidP="00500CC0">
      <w:pPr>
        <w:pStyle w:val="Sangra2detindependiente"/>
        <w:tabs>
          <w:tab w:val="left" w:pos="567"/>
        </w:tabs>
        <w:suppressAutoHyphens/>
        <w:ind w:left="0"/>
      </w:pPr>
    </w:p>
    <w:p w:rsidR="00500CC0" w:rsidRDefault="00500CC0" w:rsidP="00500CC0">
      <w:pPr>
        <w:pStyle w:val="Ttulo"/>
        <w:spacing w:line="360" w:lineRule="auto"/>
        <w:jc w:val="both"/>
        <w:rPr>
          <w:b w:val="0"/>
          <w:bCs/>
          <w:sz w:val="24"/>
          <w:szCs w:val="24"/>
        </w:rPr>
      </w:pPr>
      <w:r>
        <w:rPr>
          <w:sz w:val="24"/>
          <w:lang w:val="es-ES"/>
        </w:rPr>
        <w:t>2</w:t>
      </w:r>
      <w:r>
        <w:rPr>
          <w:sz w:val="24"/>
        </w:rPr>
        <w:t>.3</w:t>
      </w:r>
      <w:r>
        <w:rPr>
          <w:b w:val="0"/>
          <w:bCs/>
        </w:rPr>
        <w:t xml:space="preserve"> </w:t>
      </w:r>
      <w:r>
        <w:rPr>
          <w:b w:val="0"/>
          <w:bCs/>
          <w:sz w:val="24"/>
          <w:szCs w:val="24"/>
        </w:rPr>
        <w:t>No fueron revelados en notas a los estados contables los vehículos que el Ente posee en comodato.</w:t>
      </w:r>
    </w:p>
    <w:p w:rsidR="00500CC0" w:rsidRDefault="00500CC0" w:rsidP="00500CC0">
      <w:pPr>
        <w:pStyle w:val="Ttulo"/>
        <w:spacing w:line="360" w:lineRule="auto"/>
        <w:jc w:val="both"/>
        <w:rPr>
          <w:b w:val="0"/>
          <w:bCs/>
          <w:sz w:val="24"/>
          <w:szCs w:val="24"/>
        </w:rPr>
      </w:pPr>
    </w:p>
    <w:p w:rsidR="00500CC0" w:rsidRDefault="00500CC0" w:rsidP="00500CC0">
      <w:pPr>
        <w:pStyle w:val="Ttulo"/>
        <w:spacing w:line="360" w:lineRule="auto"/>
        <w:jc w:val="both"/>
        <w:rPr>
          <w:b w:val="0"/>
          <w:bCs/>
          <w:sz w:val="24"/>
          <w:szCs w:val="24"/>
        </w:rPr>
      </w:pPr>
      <w:r>
        <w:rPr>
          <w:bCs/>
          <w:sz w:val="24"/>
          <w:szCs w:val="24"/>
        </w:rPr>
        <w:t>2.4</w:t>
      </w:r>
      <w:r>
        <w:rPr>
          <w:b w:val="0"/>
          <w:bCs/>
          <w:sz w:val="24"/>
          <w:szCs w:val="24"/>
        </w:rPr>
        <w:t xml:space="preserve"> No se está dando cumplimiento a la norma de ejecución presupuestal referente al “Quebranto de caja”, al no efectuar en la caja de ahorros del Banco de la República Oriental del Uruguay, el depósito del 20% retenido para cubrir eventuales faltantes de caja, el cual se registra como un pasivo.</w:t>
      </w:r>
    </w:p>
    <w:p w:rsidR="00500CC0" w:rsidRPr="00615B5F" w:rsidRDefault="00500CC0" w:rsidP="00500CC0">
      <w:pPr>
        <w:pStyle w:val="Ttulo"/>
        <w:spacing w:line="360" w:lineRule="auto"/>
        <w:jc w:val="both"/>
        <w:rPr>
          <w:bCs/>
          <w:sz w:val="24"/>
          <w:szCs w:val="24"/>
        </w:rPr>
      </w:pPr>
    </w:p>
    <w:p w:rsidR="00500CC0" w:rsidRDefault="00500CC0" w:rsidP="00500CC0">
      <w:pPr>
        <w:pStyle w:val="Sangra2detindependiente"/>
        <w:tabs>
          <w:tab w:val="left" w:pos="567"/>
        </w:tabs>
        <w:suppressAutoHyphens/>
        <w:ind w:left="0"/>
        <w:rPr>
          <w:rFonts w:cs="Arial"/>
        </w:rPr>
      </w:pPr>
      <w:r>
        <w:rPr>
          <w:rFonts w:cs="Arial"/>
          <w:b/>
          <w:lang w:val="es-ES_tradnl"/>
        </w:rPr>
        <w:t>2</w:t>
      </w:r>
      <w:r>
        <w:rPr>
          <w:rFonts w:cs="Arial"/>
          <w:b/>
        </w:rPr>
        <w:t xml:space="preserve">.5 </w:t>
      </w:r>
      <w:r>
        <w:rPr>
          <w:rFonts w:cs="Arial"/>
        </w:rPr>
        <w:t>Se ha constatado un error en la información aportada en la nota 10, ya que el Ente ha recibido hasta la fecha la suma de pesos uruguayos equivalentes a U$S 1:400.000 (y no U$S 600.000), restando recibir U$S 400.000 del refuerzo de fondos por U$S 1:800.000 autorizado por Resolución MEF Nº 6568 del 15/08/12, a los efectos de cumplir con el pago de honorarios profesionales por la promoción, seguimiento y control de los procesos concursales de PLUNA S.A. en Uruguay y en el exterior.</w:t>
      </w:r>
    </w:p>
    <w:p w:rsidR="00500CC0" w:rsidRDefault="00500CC0" w:rsidP="00500CC0">
      <w:pPr>
        <w:pStyle w:val="Sangra2detindependiente"/>
        <w:tabs>
          <w:tab w:val="left" w:pos="567"/>
        </w:tabs>
        <w:suppressAutoHyphens/>
        <w:ind w:left="0"/>
        <w:rPr>
          <w:b/>
        </w:rPr>
      </w:pPr>
    </w:p>
    <w:p w:rsidR="00500CC0" w:rsidRDefault="00500CC0" w:rsidP="00500CC0">
      <w:pPr>
        <w:pStyle w:val="Sangra2detindependiente"/>
        <w:numPr>
          <w:ilvl w:val="0"/>
          <w:numId w:val="7"/>
        </w:numPr>
        <w:tabs>
          <w:tab w:val="left" w:pos="284"/>
          <w:tab w:val="num" w:pos="709"/>
        </w:tabs>
        <w:suppressAutoHyphens/>
        <w:rPr>
          <w:b/>
        </w:rPr>
      </w:pPr>
      <w:r>
        <w:rPr>
          <w:b/>
        </w:rPr>
        <w:t>Evaluación del sistema de control interno</w:t>
      </w:r>
    </w:p>
    <w:p w:rsidR="00500CC0" w:rsidRDefault="00500CC0" w:rsidP="00500CC0">
      <w:pPr>
        <w:pStyle w:val="Textoindependiente2"/>
        <w:rPr>
          <w:rFonts w:cs="Arial"/>
          <w:lang w:val="es-ES"/>
        </w:rPr>
      </w:pPr>
      <w:r>
        <w:rPr>
          <w:rFonts w:cs="Arial"/>
          <w:lang w:val="es-ES"/>
        </w:rPr>
        <w:t xml:space="preserve">La evaluación del sistema de Control Interno fue realizada para establecer los procedimientos de auditoría que debían aplicarse como prueba de la eficacia de los controles implementados en relación con el objetivo de la auditoría practicada y no para emitir una opinión respecto del mismo. </w:t>
      </w:r>
    </w:p>
    <w:p w:rsidR="00500CC0" w:rsidRDefault="00500CC0" w:rsidP="00500CC0">
      <w:pPr>
        <w:pStyle w:val="Textoindependiente2"/>
      </w:pPr>
      <w:r>
        <w:rPr>
          <w:rFonts w:cs="Arial"/>
          <w:lang w:val="es-ES"/>
        </w:rPr>
        <w:t>Como consecuencia de dicha evaluación se constataron las siguientes debilidades:</w:t>
      </w:r>
    </w:p>
    <w:p w:rsidR="00500CC0" w:rsidRDefault="00500CC0" w:rsidP="00500CC0">
      <w:pPr>
        <w:pStyle w:val="Textoindependiente2"/>
        <w:numPr>
          <w:ilvl w:val="0"/>
          <w:numId w:val="4"/>
        </w:numPr>
        <w:tabs>
          <w:tab w:val="left" w:pos="708"/>
        </w:tabs>
      </w:pPr>
      <w:r>
        <w:t>Las conciliaciones son realizadas y revisadas por la Subgerente de Economía y Finanzas, no existiendo oposición de intereses.</w:t>
      </w:r>
    </w:p>
    <w:p w:rsidR="00500CC0" w:rsidRPr="00DE61EA" w:rsidRDefault="00500CC0" w:rsidP="00500CC0">
      <w:pPr>
        <w:pStyle w:val="Textoindependiente2"/>
        <w:numPr>
          <w:ilvl w:val="0"/>
          <w:numId w:val="4"/>
        </w:numPr>
        <w:rPr>
          <w:rFonts w:cs="Arial"/>
          <w:b/>
        </w:rPr>
      </w:pPr>
      <w:r>
        <w:rPr>
          <w:rFonts w:cs="Arial"/>
        </w:rPr>
        <w:t>El Ente cuenta con un plan de cuentas por centro de costos al que se le han agregado cuentas sin controlar su coherencia y homogeneidad en los agrupamientos practicados.</w:t>
      </w:r>
    </w:p>
    <w:p w:rsidR="00500CC0" w:rsidRDefault="00500CC0" w:rsidP="00500CC0">
      <w:pPr>
        <w:pStyle w:val="Textoindependiente2"/>
        <w:ind w:left="720"/>
        <w:rPr>
          <w:rFonts w:cs="Arial"/>
          <w:b/>
        </w:rPr>
      </w:pPr>
    </w:p>
    <w:p w:rsidR="00500CC0" w:rsidRDefault="00500CC0" w:rsidP="00500CC0">
      <w:pPr>
        <w:spacing w:line="360" w:lineRule="auto"/>
        <w:ind w:firstLine="284"/>
        <w:jc w:val="both"/>
        <w:rPr>
          <w:b/>
          <w:bCs/>
        </w:rPr>
      </w:pPr>
      <w:r>
        <w:rPr>
          <w:b/>
          <w:bCs/>
        </w:rPr>
        <w:t>4. Recomendaciones</w:t>
      </w:r>
    </w:p>
    <w:p w:rsidR="00500CC0" w:rsidRDefault="00500CC0" w:rsidP="00500CC0">
      <w:pPr>
        <w:tabs>
          <w:tab w:val="left" w:pos="426"/>
        </w:tabs>
        <w:spacing w:line="360" w:lineRule="auto"/>
        <w:jc w:val="both"/>
        <w:rPr>
          <w:rFonts w:cs="Arial"/>
          <w:b/>
        </w:rPr>
      </w:pPr>
      <w:r>
        <w:rPr>
          <w:rFonts w:cs="Arial"/>
          <w:b/>
        </w:rPr>
        <w:t>4.1 Recomendaciones de Ejercicios anteriores</w:t>
      </w:r>
    </w:p>
    <w:p w:rsidR="00500CC0" w:rsidRDefault="00500CC0" w:rsidP="00500CC0">
      <w:pPr>
        <w:spacing w:line="360" w:lineRule="auto"/>
        <w:jc w:val="both"/>
        <w:rPr>
          <w:bCs/>
        </w:rPr>
      </w:pPr>
      <w:r>
        <w:rPr>
          <w:rFonts w:cs="Arial"/>
          <w:b/>
        </w:rPr>
        <w:t>4.1.1 Cumplidas</w:t>
      </w:r>
    </w:p>
    <w:p w:rsidR="00500CC0" w:rsidRDefault="00500CC0" w:rsidP="00500CC0">
      <w:pPr>
        <w:numPr>
          <w:ilvl w:val="0"/>
          <w:numId w:val="5"/>
        </w:numPr>
        <w:spacing w:line="360" w:lineRule="auto"/>
        <w:jc w:val="both"/>
      </w:pPr>
      <w:r>
        <w:t>Se aprobaron las bajas de pasivo por Resolución de Directorio.</w:t>
      </w:r>
    </w:p>
    <w:p w:rsidR="00500CC0" w:rsidRDefault="00500CC0" w:rsidP="00500CC0">
      <w:pPr>
        <w:numPr>
          <w:ilvl w:val="0"/>
          <w:numId w:val="5"/>
        </w:numPr>
        <w:spacing w:line="360" w:lineRule="auto"/>
        <w:jc w:val="both"/>
      </w:pPr>
      <w:r>
        <w:t>Se depositan los fondos de terceros, los reintegros de viáticos y los fondos sujetos a rendición dentro del mes de recibidos.</w:t>
      </w:r>
    </w:p>
    <w:p w:rsidR="00500CC0" w:rsidRPr="00B06179" w:rsidRDefault="00500CC0" w:rsidP="00500CC0">
      <w:pPr>
        <w:numPr>
          <w:ilvl w:val="0"/>
          <w:numId w:val="5"/>
        </w:numPr>
        <w:spacing w:line="360" w:lineRule="auto"/>
        <w:jc w:val="both"/>
        <w:rPr>
          <w:b/>
        </w:rPr>
      </w:pPr>
      <w:r>
        <w:rPr>
          <w:bCs/>
          <w:lang w:val="es-ES_tradnl"/>
        </w:rPr>
        <w:t>Se reconocieron provisiones por la participación en PLUNA S.A como lo dispone la NIC 37.</w:t>
      </w:r>
    </w:p>
    <w:p w:rsidR="00500CC0" w:rsidRPr="00DC09D8" w:rsidRDefault="00500CC0" w:rsidP="00500CC0">
      <w:pPr>
        <w:numPr>
          <w:ilvl w:val="0"/>
          <w:numId w:val="5"/>
        </w:numPr>
        <w:spacing w:line="360" w:lineRule="auto"/>
        <w:jc w:val="both"/>
        <w:rPr>
          <w:b/>
        </w:rPr>
      </w:pPr>
      <w:r>
        <w:t>Se sometieron todos los gastos a la intervención preventiva del Tribunal de Cuentas.</w:t>
      </w:r>
    </w:p>
    <w:p w:rsidR="00500CC0" w:rsidRPr="00B06179" w:rsidRDefault="00500CC0" w:rsidP="00500CC0">
      <w:pPr>
        <w:numPr>
          <w:ilvl w:val="0"/>
          <w:numId w:val="5"/>
        </w:numPr>
        <w:spacing w:line="360" w:lineRule="auto"/>
        <w:jc w:val="both"/>
        <w:rPr>
          <w:b/>
        </w:rPr>
      </w:pPr>
      <w:r>
        <w:t>Se prepararon los estados contables sobre la base de la acumulación o del devengo contable.</w:t>
      </w:r>
    </w:p>
    <w:p w:rsidR="00500CC0" w:rsidRPr="00DC09D8" w:rsidRDefault="00500CC0" w:rsidP="00500CC0">
      <w:pPr>
        <w:numPr>
          <w:ilvl w:val="0"/>
          <w:numId w:val="5"/>
        </w:numPr>
        <w:spacing w:line="360" w:lineRule="auto"/>
        <w:jc w:val="both"/>
        <w:rPr>
          <w:b/>
        </w:rPr>
      </w:pPr>
      <w:r>
        <w:t>Se realizó el inventario físico de la totalidad de los bienes de uso.</w:t>
      </w:r>
    </w:p>
    <w:p w:rsidR="00500CC0" w:rsidRPr="00B06179" w:rsidRDefault="00500CC0" w:rsidP="00500CC0">
      <w:pPr>
        <w:numPr>
          <w:ilvl w:val="0"/>
          <w:numId w:val="5"/>
        </w:numPr>
        <w:spacing w:line="360" w:lineRule="auto"/>
        <w:jc w:val="both"/>
        <w:rPr>
          <w:b/>
        </w:rPr>
      </w:pPr>
      <w:r>
        <w:t>Se presentaron los Estados de Situación Patrimonial, de Resultados y de Origen y Aplicación de Fondos en forma comparativa con los del ejercicio anterior.</w:t>
      </w:r>
    </w:p>
    <w:p w:rsidR="00500CC0" w:rsidRDefault="00500CC0" w:rsidP="00500CC0">
      <w:pPr>
        <w:spacing w:line="360" w:lineRule="auto"/>
        <w:jc w:val="both"/>
        <w:rPr>
          <w:b/>
          <w:bCs/>
          <w:lang w:val="es-ES_tradnl"/>
        </w:rPr>
      </w:pPr>
    </w:p>
    <w:p w:rsidR="00500CC0" w:rsidRDefault="00500CC0" w:rsidP="00500CC0">
      <w:pPr>
        <w:spacing w:line="360" w:lineRule="auto"/>
        <w:jc w:val="both"/>
        <w:rPr>
          <w:b/>
        </w:rPr>
      </w:pPr>
      <w:r>
        <w:rPr>
          <w:b/>
          <w:bCs/>
          <w:lang w:val="es-ES_tradnl"/>
        </w:rPr>
        <w:t>4</w:t>
      </w:r>
      <w:r w:rsidRPr="00B06179">
        <w:rPr>
          <w:b/>
          <w:bCs/>
          <w:lang w:val="es-ES_tradnl"/>
        </w:rPr>
        <w:t>.1.2</w:t>
      </w:r>
      <w:r>
        <w:rPr>
          <w:bCs/>
          <w:lang w:val="es-ES_tradnl"/>
        </w:rPr>
        <w:t xml:space="preserve"> </w:t>
      </w:r>
      <w:r>
        <w:rPr>
          <w:b/>
        </w:rPr>
        <w:t>No cumplidas</w:t>
      </w:r>
    </w:p>
    <w:p w:rsidR="00500CC0" w:rsidRDefault="00500CC0" w:rsidP="00500CC0">
      <w:pPr>
        <w:tabs>
          <w:tab w:val="left" w:pos="284"/>
        </w:tabs>
        <w:spacing w:line="360" w:lineRule="auto"/>
        <w:jc w:val="both"/>
      </w:pPr>
      <w:r>
        <w:rPr>
          <w:b/>
        </w:rPr>
        <w:t xml:space="preserve">         </w:t>
      </w:r>
      <w:r>
        <w:t>PLUNA no dio cumplimiento a:</w:t>
      </w:r>
    </w:p>
    <w:p w:rsidR="00500CC0" w:rsidRDefault="00500CC0" w:rsidP="00500CC0">
      <w:pPr>
        <w:numPr>
          <w:ilvl w:val="0"/>
          <w:numId w:val="3"/>
        </w:numPr>
        <w:tabs>
          <w:tab w:val="clear" w:pos="680"/>
          <w:tab w:val="num" w:pos="600"/>
        </w:tabs>
        <w:spacing w:line="360" w:lineRule="auto"/>
        <w:jc w:val="both"/>
        <w:rPr>
          <w:bCs/>
        </w:rPr>
      </w:pPr>
      <w:r>
        <w:t>Consultar al Ministerio de Transporte y Obras Públicas en calidad de qué se hizo la reforma del local propiedad del BSE, para determinar si corresponde la contabilización de las mejoras en el inmueble arrendado, así como la activación de los muebles y útiles.</w:t>
      </w:r>
    </w:p>
    <w:p w:rsidR="00500CC0" w:rsidRPr="00E16317" w:rsidRDefault="00500CC0" w:rsidP="00500CC0">
      <w:pPr>
        <w:numPr>
          <w:ilvl w:val="0"/>
          <w:numId w:val="3"/>
        </w:numPr>
        <w:tabs>
          <w:tab w:val="clear" w:pos="680"/>
          <w:tab w:val="num" w:pos="600"/>
        </w:tabs>
        <w:spacing w:line="360" w:lineRule="auto"/>
        <w:jc w:val="both"/>
        <w:rPr>
          <w:bCs/>
        </w:rPr>
      </w:pPr>
      <w:r>
        <w:t>Adoptar un criterio para depurar los deudores en gestión, en base a su antigüedad y probabilidad de cobro.</w:t>
      </w:r>
    </w:p>
    <w:p w:rsidR="00500CC0" w:rsidRDefault="00500CC0" w:rsidP="00500CC0">
      <w:pPr>
        <w:spacing w:line="360" w:lineRule="auto"/>
        <w:ind w:left="624"/>
        <w:jc w:val="both"/>
        <w:rPr>
          <w:bCs/>
        </w:rPr>
      </w:pPr>
    </w:p>
    <w:p w:rsidR="00500CC0" w:rsidRDefault="00500CC0" w:rsidP="00500CC0">
      <w:pPr>
        <w:numPr>
          <w:ilvl w:val="1"/>
          <w:numId w:val="6"/>
        </w:numPr>
        <w:tabs>
          <w:tab w:val="left" w:pos="426"/>
        </w:tabs>
        <w:spacing w:line="360" w:lineRule="auto"/>
        <w:jc w:val="both"/>
        <w:rPr>
          <w:b/>
        </w:rPr>
      </w:pPr>
      <w:r>
        <w:rPr>
          <w:b/>
        </w:rPr>
        <w:t>Recomendaciones del presente Ejercicio</w:t>
      </w:r>
    </w:p>
    <w:p w:rsidR="00500CC0" w:rsidRDefault="00500CC0" w:rsidP="00500CC0">
      <w:pPr>
        <w:pStyle w:val="Sangra3detindependiente"/>
        <w:spacing w:line="360" w:lineRule="auto"/>
        <w:ind w:left="240"/>
      </w:pPr>
      <w:r>
        <w:t>A las recomendaciones no cumplidas expuestas en el punto 4.1.2 se agregan las siguientes:</w:t>
      </w:r>
    </w:p>
    <w:p w:rsidR="00500CC0" w:rsidRPr="00BA0150" w:rsidRDefault="00500CC0" w:rsidP="00500CC0">
      <w:pPr>
        <w:pStyle w:val="Ttulo"/>
        <w:numPr>
          <w:ilvl w:val="0"/>
          <w:numId w:val="4"/>
        </w:numPr>
        <w:tabs>
          <w:tab w:val="left" w:pos="284"/>
        </w:tabs>
        <w:spacing w:line="360" w:lineRule="auto"/>
        <w:ind w:left="284" w:hanging="284"/>
        <w:jc w:val="both"/>
        <w:rPr>
          <w:b w:val="0"/>
          <w:sz w:val="24"/>
          <w:szCs w:val="24"/>
          <w:lang w:val="es-UY"/>
        </w:rPr>
      </w:pPr>
      <w:r w:rsidRPr="00ED3737">
        <w:rPr>
          <w:rFonts w:cs="Arial"/>
          <w:b w:val="0"/>
          <w:spacing w:val="-1"/>
          <w:sz w:val="24"/>
          <w:szCs w:val="24"/>
        </w:rPr>
        <w:t>Remitir a este Tribunal los estados financieros dentro del plazo establecido en el Artículo 32 de la Ordenanza Nº 81.</w:t>
      </w:r>
    </w:p>
    <w:p w:rsidR="00500CC0" w:rsidRPr="00DE61EA" w:rsidRDefault="00500CC0" w:rsidP="00500CC0">
      <w:pPr>
        <w:pStyle w:val="Ttulo"/>
        <w:numPr>
          <w:ilvl w:val="0"/>
          <w:numId w:val="4"/>
        </w:numPr>
        <w:tabs>
          <w:tab w:val="left" w:pos="284"/>
        </w:tabs>
        <w:spacing w:line="360" w:lineRule="auto"/>
        <w:ind w:left="284" w:hanging="284"/>
        <w:jc w:val="both"/>
        <w:rPr>
          <w:b w:val="0"/>
          <w:sz w:val="24"/>
          <w:szCs w:val="24"/>
          <w:lang w:val="es-UY"/>
        </w:rPr>
      </w:pPr>
      <w:r>
        <w:rPr>
          <w:rFonts w:cs="Arial"/>
          <w:b w:val="0"/>
          <w:spacing w:val="-1"/>
          <w:sz w:val="24"/>
          <w:szCs w:val="24"/>
          <w:lang w:val="es-UY"/>
        </w:rPr>
        <w:t>Controlar la integridad de las cuentas que forman los estados contables y su correcta exposición. (2.1)</w:t>
      </w:r>
    </w:p>
    <w:p w:rsidR="00500CC0" w:rsidRPr="00437039" w:rsidRDefault="00500CC0" w:rsidP="00500CC0">
      <w:pPr>
        <w:pStyle w:val="Ttulo"/>
        <w:numPr>
          <w:ilvl w:val="0"/>
          <w:numId w:val="4"/>
        </w:numPr>
        <w:tabs>
          <w:tab w:val="left" w:pos="284"/>
        </w:tabs>
        <w:spacing w:line="360" w:lineRule="auto"/>
        <w:ind w:left="284" w:hanging="284"/>
        <w:jc w:val="both"/>
        <w:rPr>
          <w:b w:val="0"/>
          <w:sz w:val="24"/>
          <w:szCs w:val="24"/>
          <w:lang w:val="es-UY"/>
        </w:rPr>
      </w:pPr>
      <w:r>
        <w:rPr>
          <w:rFonts w:cs="Arial"/>
          <w:b w:val="0"/>
          <w:spacing w:val="-1"/>
          <w:sz w:val="24"/>
          <w:szCs w:val="24"/>
          <w:lang w:val="es-UY"/>
        </w:rPr>
        <w:t>Revisar en forma periódica el valor residual y la vida útil del activo fijo, como lo dispone la NIC 16. (2.2)</w:t>
      </w:r>
    </w:p>
    <w:p w:rsidR="00500CC0" w:rsidRPr="00615B5F" w:rsidRDefault="00500CC0" w:rsidP="00500CC0">
      <w:pPr>
        <w:pStyle w:val="Ttulo"/>
        <w:numPr>
          <w:ilvl w:val="0"/>
          <w:numId w:val="4"/>
        </w:numPr>
        <w:tabs>
          <w:tab w:val="left" w:pos="284"/>
        </w:tabs>
        <w:spacing w:line="360" w:lineRule="auto"/>
        <w:ind w:left="284" w:hanging="284"/>
        <w:jc w:val="both"/>
        <w:rPr>
          <w:b w:val="0"/>
          <w:sz w:val="24"/>
          <w:szCs w:val="24"/>
          <w:lang w:val="es-UY"/>
        </w:rPr>
      </w:pPr>
      <w:r>
        <w:rPr>
          <w:rFonts w:cs="Arial"/>
          <w:b w:val="0"/>
          <w:spacing w:val="-1"/>
          <w:sz w:val="24"/>
          <w:szCs w:val="24"/>
          <w:lang w:val="es-UY"/>
        </w:rPr>
        <w:t>Informar en notas los bienes de terceros recibidos en comodato. (2.3)</w:t>
      </w:r>
    </w:p>
    <w:p w:rsidR="00500CC0" w:rsidRDefault="00500CC0" w:rsidP="00500CC0">
      <w:pPr>
        <w:pStyle w:val="Ttulo"/>
        <w:numPr>
          <w:ilvl w:val="0"/>
          <w:numId w:val="4"/>
        </w:numPr>
        <w:tabs>
          <w:tab w:val="left" w:pos="284"/>
        </w:tabs>
        <w:spacing w:line="360" w:lineRule="auto"/>
        <w:ind w:left="284" w:hanging="284"/>
        <w:jc w:val="both"/>
        <w:rPr>
          <w:b w:val="0"/>
          <w:sz w:val="24"/>
          <w:szCs w:val="24"/>
          <w:lang w:val="es-UY"/>
        </w:rPr>
      </w:pPr>
      <w:r>
        <w:rPr>
          <w:b w:val="0"/>
          <w:sz w:val="24"/>
          <w:szCs w:val="24"/>
          <w:lang w:val="es-UY"/>
        </w:rPr>
        <w:t>Modificar la norma presupuestal referente al quebranto de caja ajustada a la realidad del Ente, en la nueva iniciativa presupuestal. (2.4)</w:t>
      </w:r>
    </w:p>
    <w:p w:rsidR="00500CC0" w:rsidRDefault="00500CC0" w:rsidP="00500CC0">
      <w:pPr>
        <w:pStyle w:val="Ttulo"/>
        <w:numPr>
          <w:ilvl w:val="0"/>
          <w:numId w:val="4"/>
        </w:numPr>
        <w:tabs>
          <w:tab w:val="left" w:pos="284"/>
        </w:tabs>
        <w:spacing w:line="360" w:lineRule="auto"/>
        <w:ind w:left="284" w:hanging="284"/>
        <w:jc w:val="both"/>
        <w:rPr>
          <w:b w:val="0"/>
          <w:sz w:val="24"/>
          <w:szCs w:val="24"/>
          <w:lang w:val="es-UY"/>
        </w:rPr>
      </w:pPr>
      <w:r>
        <w:rPr>
          <w:b w:val="0"/>
          <w:sz w:val="24"/>
          <w:szCs w:val="24"/>
          <w:lang w:val="es-UY"/>
        </w:rPr>
        <w:t>Verificar las afirmaciones contenidas en notas. (2.2 y 2.5)</w:t>
      </w:r>
    </w:p>
    <w:p w:rsidR="00500CC0" w:rsidRPr="00615B5F" w:rsidRDefault="00500CC0" w:rsidP="00500CC0">
      <w:pPr>
        <w:pStyle w:val="Ttulo"/>
        <w:numPr>
          <w:ilvl w:val="0"/>
          <w:numId w:val="4"/>
        </w:numPr>
        <w:tabs>
          <w:tab w:val="left" w:pos="284"/>
        </w:tabs>
        <w:spacing w:line="360" w:lineRule="auto"/>
        <w:ind w:left="284" w:hanging="284"/>
        <w:jc w:val="both"/>
        <w:rPr>
          <w:b w:val="0"/>
          <w:sz w:val="24"/>
          <w:szCs w:val="24"/>
          <w:lang w:val="es-UY"/>
        </w:rPr>
      </w:pPr>
      <w:r>
        <w:rPr>
          <w:rFonts w:cs="Arial"/>
          <w:b w:val="0"/>
          <w:spacing w:val="-1"/>
          <w:sz w:val="24"/>
          <w:szCs w:val="24"/>
        </w:rPr>
        <w:t>Asignar la revisión de las conciliaciones bancarias a la Auditoría Interna. (Control Interno)</w:t>
      </w:r>
    </w:p>
    <w:p w:rsidR="00500CC0" w:rsidRDefault="00500CC0" w:rsidP="00500CC0">
      <w:pPr>
        <w:pStyle w:val="Ttulo"/>
        <w:numPr>
          <w:ilvl w:val="0"/>
          <w:numId w:val="4"/>
        </w:numPr>
        <w:tabs>
          <w:tab w:val="left" w:pos="284"/>
        </w:tabs>
        <w:spacing w:line="360" w:lineRule="auto"/>
        <w:ind w:left="284" w:hanging="284"/>
        <w:jc w:val="both"/>
        <w:rPr>
          <w:b w:val="0"/>
          <w:sz w:val="24"/>
          <w:szCs w:val="24"/>
          <w:lang w:val="es-UY"/>
        </w:rPr>
      </w:pPr>
      <w:r>
        <w:rPr>
          <w:b w:val="0"/>
          <w:sz w:val="24"/>
          <w:szCs w:val="24"/>
          <w:lang w:val="es-UY"/>
        </w:rPr>
        <w:t>Actualizar y controlar el plan de cuentas del Ente, teniendo en cuenta la claridad en la terminología utilizada y la homogeneidad en los agrupamientos realizados. (Control Interno)</w:t>
      </w:r>
    </w:p>
    <w:p w:rsidR="00500CC0" w:rsidRDefault="00500CC0" w:rsidP="00500CC0">
      <w:pPr>
        <w:pStyle w:val="Ttulo"/>
        <w:numPr>
          <w:ilvl w:val="0"/>
          <w:numId w:val="4"/>
        </w:numPr>
        <w:tabs>
          <w:tab w:val="left" w:pos="284"/>
        </w:tabs>
        <w:spacing w:line="360" w:lineRule="auto"/>
        <w:ind w:left="284" w:hanging="284"/>
        <w:jc w:val="both"/>
        <w:rPr>
          <w:b w:val="0"/>
          <w:sz w:val="24"/>
          <w:szCs w:val="24"/>
          <w:lang w:val="es-UY"/>
        </w:rPr>
      </w:pPr>
      <w:r>
        <w:rPr>
          <w:b w:val="0"/>
          <w:sz w:val="24"/>
          <w:szCs w:val="24"/>
          <w:lang w:val="es-UY"/>
        </w:rPr>
        <w:t>Fortalecer el sistema de control interno a efectos de corregir las debilidades expuestas en el presente informe.</w:t>
      </w:r>
    </w:p>
    <w:p w:rsidR="00500CC0" w:rsidRDefault="00500CC0" w:rsidP="00500CC0">
      <w:pPr>
        <w:pStyle w:val="Sangradetextonormal"/>
        <w:tabs>
          <w:tab w:val="left" w:pos="4962"/>
        </w:tabs>
        <w:ind w:left="0"/>
        <w:jc w:val="right"/>
      </w:pPr>
      <w:r>
        <w:t>Montevideo, 7 de agosto de 2014</w:t>
      </w:r>
    </w:p>
    <w:p w:rsidR="006A14E6" w:rsidRDefault="006A14E6" w:rsidP="00500CC0">
      <w:pPr>
        <w:pStyle w:val="Sangradetextonormal"/>
        <w:tabs>
          <w:tab w:val="left" w:pos="4962"/>
        </w:tabs>
        <w:ind w:left="0"/>
        <w:jc w:val="right"/>
      </w:pPr>
    </w:p>
    <w:p w:rsidR="00500CC0" w:rsidRPr="00500CC0" w:rsidRDefault="00500CC0" w:rsidP="00500CC0">
      <w:pPr>
        <w:pStyle w:val="Sangradetextonormal"/>
        <w:tabs>
          <w:tab w:val="left" w:pos="4962"/>
        </w:tabs>
        <w:ind w:left="0" w:hanging="567"/>
        <w:rPr>
          <w:spacing w:val="-3"/>
          <w:lang w:val="es-ES_tradnl"/>
        </w:rPr>
      </w:pPr>
      <w:proofErr w:type="gramStart"/>
      <w:r>
        <w:t>dc</w:t>
      </w:r>
      <w:proofErr w:type="gramEnd"/>
    </w:p>
    <w:sectPr w:rsidR="00500CC0" w:rsidRPr="00500CC0" w:rsidSect="000771D8">
      <w:headerReference w:type="default" r:id="rId8"/>
      <w:footerReference w:type="even" r:id="rId9"/>
      <w:footerReference w:type="default" r:id="rId10"/>
      <w:pgSz w:w="11906" w:h="16838" w:code="9"/>
      <w:pgMar w:top="3119" w:right="1701" w:bottom="1418" w:left="1701" w:header="0"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C1C" w:rsidRDefault="00DD1C1C">
      <w:r>
        <w:separator/>
      </w:r>
    </w:p>
  </w:endnote>
  <w:endnote w:type="continuationSeparator" w:id="0">
    <w:p w:rsidR="00DD1C1C" w:rsidRDefault="00DD1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1C" w:rsidRDefault="00DD1C1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D1C1C" w:rsidRDefault="00DD1C1C">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1C" w:rsidRDefault="00DD1C1C" w:rsidP="00500CC0">
    <w:pPr>
      <w:pStyle w:val="Piedepgina"/>
      <w:ind w:right="360" w:firstLine="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C1C" w:rsidRDefault="00DD1C1C">
      <w:r>
        <w:separator/>
      </w:r>
    </w:p>
  </w:footnote>
  <w:footnote w:type="continuationSeparator" w:id="0">
    <w:p w:rsidR="00DD1C1C" w:rsidRDefault="00DD1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C1C" w:rsidRPr="00380FBE" w:rsidRDefault="00DD1C1C" w:rsidP="00500CC0">
    <w:pPr>
      <w:pStyle w:val="Encabezado"/>
      <w:spacing w:line="360" w:lineRule="auto"/>
      <w:rPr>
        <w:sz w:val="22"/>
        <w:szCs w:val="22"/>
        <w:lang w:val="es-U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5B3"/>
    <w:multiLevelType w:val="multilevel"/>
    <w:tmpl w:val="57D061FA"/>
    <w:lvl w:ilvl="0">
      <w:start w:val="1"/>
      <w:numFmt w:val="decimal"/>
      <w:lvlText w:val="%1)"/>
      <w:lvlJc w:val="left"/>
      <w:pPr>
        <w:tabs>
          <w:tab w:val="num" w:pos="360"/>
        </w:tabs>
        <w:ind w:left="340" w:hanging="340"/>
      </w:pPr>
      <w:rPr>
        <w:rFonts w:ascii="Arial" w:hAnsi="Arial" w:hint="default"/>
        <w:b/>
        <w:i w:val="0"/>
        <w:sz w:val="24"/>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nsid w:val="0A5C288F"/>
    <w:multiLevelType w:val="hybridMultilevel"/>
    <w:tmpl w:val="F1B43F5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E695EC7"/>
    <w:multiLevelType w:val="multilevel"/>
    <w:tmpl w:val="8468EFA8"/>
    <w:lvl w:ilvl="0">
      <w:start w:val="1"/>
      <w:numFmt w:val="bullet"/>
      <w:lvlText w:val=""/>
      <w:lvlJc w:val="left"/>
      <w:pPr>
        <w:tabs>
          <w:tab w:val="num" w:pos="680"/>
        </w:tabs>
        <w:ind w:left="624" w:hanging="624"/>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D932D86"/>
    <w:multiLevelType w:val="hybridMultilevel"/>
    <w:tmpl w:val="A75E6402"/>
    <w:lvl w:ilvl="0" w:tplc="0C0A0001">
      <w:start w:val="1"/>
      <w:numFmt w:val="bullet"/>
      <w:lvlText w:val=""/>
      <w:lvlJc w:val="left"/>
      <w:pPr>
        <w:tabs>
          <w:tab w:val="num" w:pos="855"/>
        </w:tabs>
        <w:ind w:left="855" w:hanging="360"/>
      </w:pPr>
      <w:rPr>
        <w:rFonts w:ascii="Symbol" w:hAnsi="Symbol" w:hint="default"/>
      </w:rPr>
    </w:lvl>
    <w:lvl w:ilvl="1" w:tplc="080E615A">
      <w:numFmt w:val="bullet"/>
      <w:lvlText w:val="-"/>
      <w:lvlJc w:val="left"/>
      <w:pPr>
        <w:tabs>
          <w:tab w:val="num" w:pos="1575"/>
        </w:tabs>
        <w:ind w:left="1575" w:hanging="360"/>
      </w:pPr>
      <w:rPr>
        <w:rFonts w:ascii="Times New Roman" w:eastAsia="Times New Roman" w:hAnsi="Times New Roman" w:cs="Times New Roman" w:hint="default"/>
      </w:rPr>
    </w:lvl>
    <w:lvl w:ilvl="2" w:tplc="0C0A0001">
      <w:start w:val="1"/>
      <w:numFmt w:val="bullet"/>
      <w:lvlText w:val=""/>
      <w:lvlJc w:val="left"/>
      <w:pPr>
        <w:tabs>
          <w:tab w:val="num" w:pos="2295"/>
        </w:tabs>
        <w:ind w:left="2295" w:hanging="360"/>
      </w:pPr>
      <w:rPr>
        <w:rFonts w:ascii="Symbol" w:hAnsi="Symbol"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4">
    <w:nsid w:val="48245595"/>
    <w:multiLevelType w:val="multilevel"/>
    <w:tmpl w:val="D4ECF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A6C4A5B"/>
    <w:multiLevelType w:val="hybridMultilevel"/>
    <w:tmpl w:val="B0682E48"/>
    <w:lvl w:ilvl="0" w:tplc="9426192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
    <w:nsid w:val="6F7E099B"/>
    <w:multiLevelType w:val="hybridMultilevel"/>
    <w:tmpl w:val="BE007DC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D8"/>
    <w:rsid w:val="000771D8"/>
    <w:rsid w:val="00500CC0"/>
    <w:rsid w:val="00635A63"/>
    <w:rsid w:val="006A14E6"/>
    <w:rsid w:val="00A51AAC"/>
    <w:rsid w:val="00CE360D"/>
    <w:rsid w:val="00DD1C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semiHidden/>
    <w:rsid w:val="000771D8"/>
    <w:pPr>
      <w:tabs>
        <w:tab w:val="center" w:pos="4252"/>
        <w:tab w:val="right" w:pos="8504"/>
      </w:tabs>
    </w:pPr>
  </w:style>
  <w:style w:type="character" w:customStyle="1" w:styleId="PiedepginaCar">
    <w:name w:val="Pie de página Car"/>
    <w:basedOn w:val="Fuentedeprrafopredeter"/>
    <w:link w:val="Piedepgina"/>
    <w:semiHidden/>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semiHidden/>
    <w:rsid w:val="000771D8"/>
    <w:pPr>
      <w:tabs>
        <w:tab w:val="center" w:pos="4252"/>
        <w:tab w:val="right" w:pos="8504"/>
      </w:tabs>
    </w:pPr>
  </w:style>
  <w:style w:type="character" w:customStyle="1" w:styleId="PiedepginaCar">
    <w:name w:val="Pie de página Car"/>
    <w:basedOn w:val="Fuentedeprrafopredeter"/>
    <w:link w:val="Piedepgina"/>
    <w:semiHidden/>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1780</Words>
  <Characters>9791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Castro</dc:creator>
  <cp:keywords/>
  <dc:description/>
  <cp:lastModifiedBy> </cp:lastModifiedBy>
  <cp:revision>3</cp:revision>
  <dcterms:created xsi:type="dcterms:W3CDTF">2014-09-22T20:41:00Z</dcterms:created>
  <dcterms:modified xsi:type="dcterms:W3CDTF">2014-10-10T17:16:00Z</dcterms:modified>
</cp:coreProperties>
</file>