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BAD" w:rsidRDefault="006B3BA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6B3BAD" w:rsidRDefault="006B3BA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B3BAD" w:rsidRDefault="006B3BA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6B3BAD" w:rsidRDefault="006B3BA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B3BAD" w:rsidRDefault="006B3BA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10 DE SETIEMBRE DE 2014</w:t>
      </w:r>
    </w:p>
    <w:p w:rsidR="006B3BAD" w:rsidRDefault="006B3BA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B3BAD" w:rsidRPr="006B3BAD" w:rsidRDefault="006B3BA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6B3BAD">
        <w:rPr>
          <w:rFonts w:ascii="Helvetica" w:hAnsi="Helvetica"/>
          <w:b/>
          <w:lang w:val="es-UY"/>
        </w:rPr>
        <w:t>(E. E. Nº 2014-17-1-0004534, Ent. N° 4968/14)</w:t>
      </w:r>
    </w:p>
    <w:p w:rsidR="006B3BAD" w:rsidRDefault="006B3BAD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046854" w:rsidRPr="006B3BAD" w:rsidRDefault="00046854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6B3BAD" w:rsidRPr="006B3BAD" w:rsidRDefault="006B3BAD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6B3BAD" w:rsidRDefault="006B3BAD" w:rsidP="006B3BAD">
      <w:pPr>
        <w:spacing w:line="360" w:lineRule="auto"/>
        <w:ind w:firstLine="851"/>
        <w:jc w:val="both"/>
        <w:rPr>
          <w:rFonts w:ascii="Arial" w:hAnsi="Arial" w:cs="Arial"/>
        </w:rPr>
      </w:pPr>
      <w:r w:rsidRPr="00DB5CAC">
        <w:rPr>
          <w:rFonts w:ascii="Arial" w:hAnsi="Arial" w:cs="Arial"/>
          <w:b/>
        </w:rPr>
        <w:t xml:space="preserve">VISTO: </w:t>
      </w:r>
      <w:r w:rsidRPr="00DB5CAC">
        <w:rPr>
          <w:rFonts w:ascii="Arial" w:hAnsi="Arial" w:cs="Arial"/>
        </w:rPr>
        <w:t xml:space="preserve">las nuevas actuaciones remitidas por </w:t>
      </w:r>
      <w:r>
        <w:rPr>
          <w:rFonts w:ascii="Arial" w:hAnsi="Arial" w:cs="Arial"/>
          <w:spacing w:val="-3"/>
          <w:lang w:val="es-ES_tradnl"/>
        </w:rPr>
        <w:t>la Contadora Auditora ante el Ministerio de Desarrollo Social (MIDES) relacionadas con la prórroga de los convenios suscritos en el marco de la Licitación Pública Nº 14/2011, -Programa Centro de Ciudadanía Juvenil- cuyo objetivo es el de contribuir al desarrollo del Ejercicio pleno de los derechos ciudadanos de las personas jóvenes, en varios Departamentos de nuestro país</w:t>
      </w:r>
      <w:r>
        <w:rPr>
          <w:rFonts w:ascii="Arial" w:hAnsi="Arial" w:cs="Arial"/>
        </w:rPr>
        <w:t>;</w:t>
      </w:r>
    </w:p>
    <w:p w:rsidR="006B3BAD" w:rsidRDefault="006B3BAD" w:rsidP="006B3BAD">
      <w:pPr>
        <w:spacing w:line="360" w:lineRule="auto"/>
        <w:ind w:firstLine="851"/>
        <w:jc w:val="both"/>
        <w:rPr>
          <w:rFonts w:ascii="Arial" w:hAnsi="Arial" w:cs="Arial"/>
        </w:rPr>
      </w:pPr>
      <w:r w:rsidRPr="00E717F1">
        <w:rPr>
          <w:rFonts w:ascii="Arial" w:hAnsi="Arial" w:cs="Arial"/>
          <w:b/>
          <w:bCs/>
        </w:rPr>
        <w:t>RESULTANDO:</w:t>
      </w:r>
      <w:r>
        <w:rPr>
          <w:rFonts w:ascii="Arial" w:hAnsi="Arial" w:cs="Arial"/>
          <w:b/>
          <w:bCs/>
        </w:rPr>
        <w:t xml:space="preserve"> </w:t>
      </w:r>
      <w:r w:rsidRPr="00E717F1">
        <w:rPr>
          <w:rFonts w:ascii="Arial" w:hAnsi="Arial" w:cs="Arial"/>
          <w:b/>
        </w:rPr>
        <w:t xml:space="preserve">1) </w:t>
      </w:r>
      <w:r>
        <w:rPr>
          <w:rFonts w:ascii="Arial" w:hAnsi="Arial" w:cs="Arial"/>
        </w:rPr>
        <w:t>que este Tribunal en S</w:t>
      </w:r>
      <w:r w:rsidRPr="00E717F1">
        <w:rPr>
          <w:rFonts w:ascii="Arial" w:hAnsi="Arial" w:cs="Arial"/>
        </w:rPr>
        <w:t xml:space="preserve">esión </w:t>
      </w:r>
      <w:r>
        <w:rPr>
          <w:rFonts w:ascii="Arial" w:hAnsi="Arial" w:cs="Arial"/>
        </w:rPr>
        <w:t>de fecha 16.7.2014 observó el gasto correspondiente a la prórroga del convenio suscrito entre el MIDES y la Asociación Civil “Centro de Participación Popular”, para el Departamento de Flores, por un total de $ 2:608.522, en virtud de que no se efectuó el informe previo del INJU tal como lo solicita el Pliego de Condiciones Particulares, y por haberse ejecutado la referida prorroga sin ser intervenida preventivamente, contraviniendo lo dispuesto por el Artículo 211 Literal B) de la Constitución de la República</w:t>
      </w:r>
      <w:r w:rsidRPr="00E717F1">
        <w:rPr>
          <w:rFonts w:ascii="Arial" w:hAnsi="Arial" w:cs="Arial"/>
        </w:rPr>
        <w:t>;</w:t>
      </w:r>
    </w:p>
    <w:p w:rsidR="006B3BAD" w:rsidRDefault="00046854" w:rsidP="00046854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6B3BAD" w:rsidRPr="00A5778B">
        <w:rPr>
          <w:rFonts w:ascii="Arial" w:hAnsi="Arial" w:cs="Arial"/>
          <w:b/>
        </w:rPr>
        <w:t>2</w:t>
      </w:r>
      <w:r w:rsidR="006B3BAD" w:rsidRPr="00A5778B">
        <w:rPr>
          <w:rFonts w:ascii="Arial" w:hAnsi="Arial" w:cs="Arial"/>
          <w:b/>
          <w:bCs/>
        </w:rPr>
        <w:t>)</w:t>
      </w:r>
      <w:r w:rsidR="006B3BAD" w:rsidRPr="00A5778B">
        <w:rPr>
          <w:rFonts w:ascii="Arial" w:hAnsi="Arial" w:cs="Arial"/>
        </w:rPr>
        <w:t xml:space="preserve"> que en la oportunidad la Contadora Auditora remite copia </w:t>
      </w:r>
      <w:r w:rsidR="006B3BAD">
        <w:rPr>
          <w:rFonts w:ascii="Arial" w:hAnsi="Arial" w:cs="Arial"/>
        </w:rPr>
        <w:t>de Resolución Nº 1166/014 de fecha 12.8.2014 del Ministro de Desarrollo Social reiterando el gasto, por la suma total de hasta $ 2:608.552 en el marco de la prórroga del convenio suscripto con fecha 31.12.2013 entre el MIDES y la Asociación Civil “Centro de Participación Popular”;</w:t>
      </w:r>
    </w:p>
    <w:p w:rsidR="006B3BAD" w:rsidRPr="006B3BAD" w:rsidRDefault="00046854" w:rsidP="00046854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6B3BAD" w:rsidRPr="006B3BAD">
        <w:rPr>
          <w:rFonts w:ascii="Arial" w:hAnsi="Arial" w:cs="Arial"/>
          <w:b/>
        </w:rPr>
        <w:t>3)</w:t>
      </w:r>
      <w:r w:rsidR="006B3BAD" w:rsidRPr="006B3BAD">
        <w:rPr>
          <w:rFonts w:ascii="Arial" w:hAnsi="Arial" w:cs="Arial"/>
        </w:rPr>
        <w:t xml:space="preserve"> que asimismo la Contadora Auditora adjunta intervención por reiteración, de fecha 18.8.2014, del gasto correspondiente  a la Afectación Nº 783/006 $ 1.365.316 año </w:t>
      </w:r>
      <w:r w:rsidR="006B3BAD">
        <w:rPr>
          <w:rFonts w:ascii="Arial" w:hAnsi="Arial" w:cs="Arial"/>
        </w:rPr>
        <w:t>2014, Financiación 1.1 Año 2014 $</w:t>
      </w:r>
      <w:r w:rsidR="006B3BAD" w:rsidRPr="006B3BAD">
        <w:rPr>
          <w:rFonts w:ascii="Arial" w:hAnsi="Arial" w:cs="Arial"/>
        </w:rPr>
        <w:t>1</w:t>
      </w:r>
      <w:r w:rsidR="006B3BAD">
        <w:rPr>
          <w:rFonts w:ascii="Arial" w:hAnsi="Arial" w:cs="Arial"/>
        </w:rPr>
        <w:t>:</w:t>
      </w:r>
      <w:r w:rsidR="006B3BAD" w:rsidRPr="006B3BAD">
        <w:rPr>
          <w:rFonts w:ascii="Arial" w:hAnsi="Arial" w:cs="Arial"/>
        </w:rPr>
        <w:t>023.987 año 2015;</w:t>
      </w:r>
    </w:p>
    <w:p w:rsidR="006B3BAD" w:rsidRDefault="006B3BAD" w:rsidP="006B3BAD">
      <w:pPr>
        <w:spacing w:line="360" w:lineRule="auto"/>
        <w:ind w:firstLine="851"/>
        <w:jc w:val="both"/>
        <w:rPr>
          <w:rFonts w:ascii="Arial" w:hAnsi="Arial" w:cs="Arial"/>
        </w:rPr>
      </w:pPr>
      <w:r w:rsidRPr="00E717F1">
        <w:rPr>
          <w:rFonts w:ascii="Arial" w:hAnsi="Arial" w:cs="Arial"/>
          <w:b/>
        </w:rPr>
        <w:t xml:space="preserve">CONSIDERANDO: 1) </w:t>
      </w:r>
      <w:r w:rsidRPr="00E717F1">
        <w:rPr>
          <w:rFonts w:ascii="Arial" w:hAnsi="Arial" w:cs="Arial"/>
        </w:rPr>
        <w:t>que</w:t>
      </w:r>
      <w:r>
        <w:rPr>
          <w:rFonts w:ascii="Arial" w:hAnsi="Arial" w:cs="Arial"/>
        </w:rPr>
        <w:t xml:space="preserve"> el Artículo 114 del TOCAF establece que en </w:t>
      </w:r>
      <w:r>
        <w:rPr>
          <w:rFonts w:ascii="Arial" w:hAnsi="Arial" w:cs="Arial"/>
        </w:rPr>
        <w:lastRenderedPageBreak/>
        <w:t>caso de que el Ordenador reitere el gasto deberá comunicar tal Resolución al Tribunal, supuesto que no fue realizado en forma oportuna;</w:t>
      </w:r>
    </w:p>
    <w:p w:rsidR="006B3BAD" w:rsidRPr="00E717F1" w:rsidRDefault="006B3BAD" w:rsidP="006B3BAD">
      <w:pPr>
        <w:spacing w:line="360" w:lineRule="auto"/>
        <w:ind w:firstLine="2977"/>
        <w:jc w:val="both"/>
        <w:rPr>
          <w:rFonts w:ascii="Arial" w:hAnsi="Arial" w:cs="Arial"/>
        </w:rPr>
      </w:pPr>
      <w:r w:rsidRPr="003748E9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que </w:t>
      </w:r>
      <w:r w:rsidRPr="00E717F1">
        <w:rPr>
          <w:rFonts w:ascii="Arial" w:hAnsi="Arial" w:cs="Arial"/>
        </w:rPr>
        <w:t xml:space="preserve">se mantienen inalteradas las razones por las cuales se </w:t>
      </w:r>
      <w:r w:rsidR="00046854">
        <w:rPr>
          <w:rFonts w:ascii="Arial" w:hAnsi="Arial" w:cs="Arial"/>
        </w:rPr>
        <w:t>observó el gasto de referencia;</w:t>
      </w:r>
    </w:p>
    <w:p w:rsidR="006B3BAD" w:rsidRDefault="006B3BAD" w:rsidP="006B3BAD">
      <w:pPr>
        <w:pStyle w:val="Textoindependiente"/>
        <w:ind w:firstLine="851"/>
      </w:pPr>
      <w:r w:rsidRPr="00E717F1">
        <w:rPr>
          <w:b/>
        </w:rPr>
        <w:t xml:space="preserve">ATENTO: </w:t>
      </w:r>
      <w:r>
        <w:t>a lo precedentemente expuesto y a lo dispuesto por el Artículo 211 Literal  B) de la Constitución de la República;</w:t>
      </w:r>
    </w:p>
    <w:p w:rsidR="006B3BAD" w:rsidRPr="00E717F1" w:rsidRDefault="006B3BAD" w:rsidP="006B3BAD">
      <w:pPr>
        <w:pStyle w:val="Ttulo2"/>
        <w:spacing w:line="360" w:lineRule="auto"/>
        <w:ind w:left="2124" w:firstLine="708"/>
        <w:rPr>
          <w:rFonts w:ascii="Arial" w:hAnsi="Arial" w:cs="Arial"/>
        </w:rPr>
      </w:pPr>
      <w:r w:rsidRPr="00E717F1">
        <w:rPr>
          <w:rFonts w:ascii="Arial" w:hAnsi="Arial" w:cs="Arial"/>
        </w:rPr>
        <w:t>EL TRIBUNAL ACUERDA</w:t>
      </w:r>
    </w:p>
    <w:p w:rsidR="006B3BAD" w:rsidRPr="00E717F1" w:rsidRDefault="006B3BAD" w:rsidP="006B3BAD">
      <w:pPr>
        <w:spacing w:line="360" w:lineRule="auto"/>
        <w:ind w:firstLine="284"/>
        <w:jc w:val="both"/>
        <w:rPr>
          <w:rFonts w:ascii="Arial" w:hAnsi="Arial" w:cs="Arial"/>
          <w:lang w:val="es-UY"/>
        </w:rPr>
      </w:pPr>
      <w:r w:rsidRPr="00E717F1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) </w:t>
      </w:r>
      <w:r w:rsidRPr="00E717F1">
        <w:rPr>
          <w:rFonts w:ascii="Arial" w:hAnsi="Arial" w:cs="Arial"/>
        </w:rPr>
        <w:t xml:space="preserve">Mantener la observación formulada </w:t>
      </w:r>
      <w:r w:rsidRPr="00E717F1">
        <w:rPr>
          <w:rFonts w:ascii="Arial" w:hAnsi="Arial" w:cs="Arial"/>
          <w:lang w:val="es-UY"/>
        </w:rPr>
        <w:t xml:space="preserve">con fecha </w:t>
      </w:r>
      <w:r>
        <w:rPr>
          <w:rFonts w:ascii="Arial" w:hAnsi="Arial" w:cs="Arial"/>
          <w:lang w:val="es-UY"/>
        </w:rPr>
        <w:t>16</w:t>
      </w:r>
      <w:r w:rsidRPr="00E717F1">
        <w:rPr>
          <w:rFonts w:ascii="Arial" w:hAnsi="Arial" w:cs="Arial"/>
        </w:rPr>
        <w:t>.</w:t>
      </w:r>
      <w:r>
        <w:rPr>
          <w:rFonts w:ascii="Arial" w:hAnsi="Arial" w:cs="Arial"/>
        </w:rPr>
        <w:t>7</w:t>
      </w:r>
      <w:r w:rsidRPr="00E717F1">
        <w:rPr>
          <w:rFonts w:ascii="Arial" w:hAnsi="Arial" w:cs="Arial"/>
        </w:rPr>
        <w:t>.201</w:t>
      </w:r>
      <w:r>
        <w:rPr>
          <w:rFonts w:ascii="Arial" w:hAnsi="Arial" w:cs="Arial"/>
        </w:rPr>
        <w:t>4</w:t>
      </w:r>
      <w:r w:rsidRPr="00E717F1">
        <w:rPr>
          <w:rFonts w:ascii="Arial" w:hAnsi="Arial" w:cs="Arial"/>
        </w:rPr>
        <w:t>;</w:t>
      </w:r>
    </w:p>
    <w:p w:rsidR="006B3BAD" w:rsidRDefault="006B3BAD" w:rsidP="006B3BAD">
      <w:pPr>
        <w:spacing w:line="360" w:lineRule="auto"/>
        <w:ind w:firstLine="284"/>
        <w:jc w:val="both"/>
        <w:rPr>
          <w:rFonts w:ascii="Arial" w:hAnsi="Arial" w:cs="Arial"/>
        </w:rPr>
      </w:pPr>
      <w:r w:rsidRPr="00E717F1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) </w:t>
      </w:r>
      <w:r>
        <w:rPr>
          <w:rFonts w:ascii="Arial" w:hAnsi="Arial" w:cs="Arial"/>
        </w:rPr>
        <w:t>Téngase presente lo señalado en el considerando 1);</w:t>
      </w:r>
    </w:p>
    <w:p w:rsidR="006B3BAD" w:rsidRPr="002C42CD" w:rsidRDefault="006B3BAD" w:rsidP="006B3BAD">
      <w:pPr>
        <w:spacing w:line="360" w:lineRule="auto"/>
        <w:ind w:firstLine="284"/>
        <w:jc w:val="both"/>
        <w:rPr>
          <w:rFonts w:ascii="Arial" w:hAnsi="Arial" w:cs="Arial"/>
        </w:rPr>
      </w:pPr>
      <w:r w:rsidRPr="003748E9">
        <w:rPr>
          <w:rFonts w:ascii="Arial" w:hAnsi="Arial" w:cs="Arial"/>
          <w:b/>
        </w:rPr>
        <w:t>3)</w:t>
      </w:r>
      <w:r w:rsidRPr="006B3BAD">
        <w:rPr>
          <w:rFonts w:ascii="Arial" w:hAnsi="Arial" w:cs="Arial"/>
        </w:rPr>
        <w:t xml:space="preserve"> </w:t>
      </w:r>
      <w:r w:rsidRPr="002C42CD">
        <w:rPr>
          <w:rFonts w:ascii="Arial" w:hAnsi="Arial" w:cs="Arial"/>
        </w:rPr>
        <w:t>Dar cuenta a la Asamblea Genera</w:t>
      </w:r>
      <w:r w:rsidR="00046854">
        <w:rPr>
          <w:rFonts w:ascii="Arial" w:hAnsi="Arial" w:cs="Arial"/>
        </w:rPr>
        <w:t>l;</w:t>
      </w:r>
    </w:p>
    <w:p w:rsidR="006B3BAD" w:rsidRDefault="006B3BAD" w:rsidP="006B3BAD">
      <w:pPr>
        <w:spacing w:line="360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4) </w:t>
      </w:r>
      <w:r w:rsidRPr="00E717F1">
        <w:rPr>
          <w:rFonts w:ascii="Arial" w:hAnsi="Arial" w:cs="Arial"/>
        </w:rPr>
        <w:t>Devolver las actuaciones.</w:t>
      </w:r>
    </w:p>
    <w:p w:rsidR="008C220A" w:rsidRPr="00046854" w:rsidRDefault="006B3BAD" w:rsidP="00046854">
      <w:pPr>
        <w:spacing w:line="360" w:lineRule="auto"/>
        <w:ind w:hanging="42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dc</w:t>
      </w:r>
      <w:proofErr w:type="gramEnd"/>
    </w:p>
    <w:sectPr w:rsidR="008C220A" w:rsidRPr="00046854" w:rsidSect="006B3BAD">
      <w:pgSz w:w="11906" w:h="16838" w:code="9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AD"/>
    <w:rsid w:val="00046854"/>
    <w:rsid w:val="00635A63"/>
    <w:rsid w:val="006645B0"/>
    <w:rsid w:val="006B3BAD"/>
    <w:rsid w:val="00A5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BA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B3BAD"/>
    <w:pPr>
      <w:keepNext/>
      <w:widowControl/>
      <w:spacing w:line="360" w:lineRule="auto"/>
      <w:jc w:val="right"/>
      <w:outlineLvl w:val="0"/>
    </w:pPr>
    <w:rPr>
      <w:rFonts w:ascii="Bookman Old Style" w:hAnsi="Bookman Old Style"/>
      <w:snapToGrid/>
      <w:lang w:val="es-UY"/>
    </w:rPr>
  </w:style>
  <w:style w:type="paragraph" w:styleId="Ttulo2">
    <w:name w:val="heading 2"/>
    <w:basedOn w:val="Normal"/>
    <w:next w:val="Normal"/>
    <w:link w:val="Ttulo2Car"/>
    <w:qFormat/>
    <w:rsid w:val="006B3BAD"/>
    <w:pPr>
      <w:keepNext/>
      <w:widowControl/>
      <w:outlineLvl w:val="1"/>
    </w:pPr>
    <w:rPr>
      <w:rFonts w:ascii="Bookman Old Style" w:hAnsi="Bookman Old Style"/>
      <w:b/>
      <w:snapToGrid/>
      <w:color w:val="000000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B3BAD"/>
    <w:rPr>
      <w:rFonts w:ascii="Bookman Old Style" w:eastAsia="Times New Roman" w:hAnsi="Bookman Old Style" w:cs="Times New Roman"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6B3BAD"/>
    <w:rPr>
      <w:rFonts w:ascii="Bookman Old Style" w:eastAsia="Times New Roman" w:hAnsi="Bookman Old Style" w:cs="Times New Roman"/>
      <w:b/>
      <w:color w:val="000000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6B3BAD"/>
    <w:pPr>
      <w:tabs>
        <w:tab w:val="left" w:pos="-720"/>
      </w:tabs>
      <w:suppressAutoHyphens/>
      <w:spacing w:line="360" w:lineRule="auto"/>
      <w:jc w:val="both"/>
    </w:pPr>
    <w:rPr>
      <w:rFonts w:ascii="Arial" w:hAnsi="Arial" w:cs="Arial"/>
      <w:lang w:val="es-UY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B3BAD"/>
    <w:rPr>
      <w:rFonts w:ascii="Arial" w:eastAsia="Times New Roman" w:hAnsi="Arial" w:cs="Arial"/>
      <w:snapToGrid w:val="0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BA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B3BAD"/>
    <w:pPr>
      <w:keepNext/>
      <w:widowControl/>
      <w:spacing w:line="360" w:lineRule="auto"/>
      <w:jc w:val="right"/>
      <w:outlineLvl w:val="0"/>
    </w:pPr>
    <w:rPr>
      <w:rFonts w:ascii="Bookman Old Style" w:hAnsi="Bookman Old Style"/>
      <w:snapToGrid/>
      <w:lang w:val="es-UY"/>
    </w:rPr>
  </w:style>
  <w:style w:type="paragraph" w:styleId="Ttulo2">
    <w:name w:val="heading 2"/>
    <w:basedOn w:val="Normal"/>
    <w:next w:val="Normal"/>
    <w:link w:val="Ttulo2Car"/>
    <w:qFormat/>
    <w:rsid w:val="006B3BAD"/>
    <w:pPr>
      <w:keepNext/>
      <w:widowControl/>
      <w:outlineLvl w:val="1"/>
    </w:pPr>
    <w:rPr>
      <w:rFonts w:ascii="Bookman Old Style" w:hAnsi="Bookman Old Style"/>
      <w:b/>
      <w:snapToGrid/>
      <w:color w:val="000000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B3BAD"/>
    <w:rPr>
      <w:rFonts w:ascii="Bookman Old Style" w:eastAsia="Times New Roman" w:hAnsi="Bookman Old Style" w:cs="Times New Roman"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6B3BAD"/>
    <w:rPr>
      <w:rFonts w:ascii="Bookman Old Style" w:eastAsia="Times New Roman" w:hAnsi="Bookman Old Style" w:cs="Times New Roman"/>
      <w:b/>
      <w:color w:val="000000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6B3BAD"/>
    <w:pPr>
      <w:tabs>
        <w:tab w:val="left" w:pos="-720"/>
      </w:tabs>
      <w:suppressAutoHyphens/>
      <w:spacing w:line="360" w:lineRule="auto"/>
      <w:jc w:val="both"/>
    </w:pPr>
    <w:rPr>
      <w:rFonts w:ascii="Arial" w:hAnsi="Arial" w:cs="Arial"/>
      <w:lang w:val="es-UY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B3BAD"/>
    <w:rPr>
      <w:rFonts w:ascii="Arial" w:eastAsia="Times New Roman" w:hAnsi="Arial" w:cs="Arial"/>
      <w:snapToGrid w:val="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Castro</dc:creator>
  <cp:keywords/>
  <dc:description/>
  <cp:lastModifiedBy> </cp:lastModifiedBy>
  <cp:revision>3</cp:revision>
  <dcterms:created xsi:type="dcterms:W3CDTF">2014-09-17T20:37:00Z</dcterms:created>
  <dcterms:modified xsi:type="dcterms:W3CDTF">2014-10-01T20:48:00Z</dcterms:modified>
</cp:coreProperties>
</file>