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9DC" w:rsidRDefault="00E449DC">
      <w:pPr>
        <w:tabs>
          <w:tab w:val="center" w:pos="4253"/>
        </w:tabs>
        <w:suppressAutoHyphens/>
        <w:jc w:val="center"/>
        <w:rPr>
          <w:rFonts w:ascii="Helvetica" w:hAnsi="Helvetica"/>
          <w:b/>
          <w:lang w:val="es-ES_tradnl"/>
        </w:rPr>
      </w:pPr>
      <w:bookmarkStart w:id="0" w:name="_GoBack"/>
      <w:bookmarkEnd w:id="0"/>
      <w:r>
        <w:rPr>
          <w:rFonts w:ascii="Helvetica" w:hAnsi="Helvetica"/>
          <w:b/>
          <w:lang w:val="es-ES_tradnl"/>
        </w:rPr>
        <w:t>RESOLUCION ADOPTADA POR EL</w:t>
      </w:r>
    </w:p>
    <w:p w:rsidR="00E449DC" w:rsidRDefault="00E449DC">
      <w:pPr>
        <w:tabs>
          <w:tab w:val="left" w:pos="-720"/>
        </w:tabs>
        <w:suppressAutoHyphens/>
        <w:jc w:val="center"/>
        <w:rPr>
          <w:rFonts w:ascii="Helvetica" w:hAnsi="Helvetica"/>
          <w:b/>
          <w:lang w:val="es-ES_tradnl"/>
        </w:rPr>
      </w:pPr>
    </w:p>
    <w:p w:rsidR="00E449DC" w:rsidRDefault="00E449DC">
      <w:pPr>
        <w:tabs>
          <w:tab w:val="center" w:pos="4253"/>
        </w:tabs>
        <w:suppressAutoHyphens/>
        <w:jc w:val="center"/>
        <w:rPr>
          <w:rFonts w:ascii="Helvetica" w:hAnsi="Helvetica"/>
          <w:b/>
          <w:lang w:val="es-ES_tradnl"/>
        </w:rPr>
      </w:pPr>
      <w:r>
        <w:rPr>
          <w:rFonts w:ascii="Helvetica" w:hAnsi="Helvetica"/>
          <w:b/>
          <w:lang w:val="es-ES_tradnl"/>
        </w:rPr>
        <w:t>TRIBUNAL DE CUENTAS</w:t>
      </w:r>
    </w:p>
    <w:p w:rsidR="00E449DC" w:rsidRDefault="00E449DC">
      <w:pPr>
        <w:tabs>
          <w:tab w:val="left" w:pos="-720"/>
        </w:tabs>
        <w:suppressAutoHyphens/>
        <w:jc w:val="center"/>
        <w:rPr>
          <w:rFonts w:ascii="Helvetica" w:hAnsi="Helvetica"/>
          <w:b/>
          <w:lang w:val="es-ES_tradnl"/>
        </w:rPr>
      </w:pPr>
    </w:p>
    <w:p w:rsidR="00E449DC" w:rsidRDefault="00E449DC">
      <w:pPr>
        <w:tabs>
          <w:tab w:val="center" w:pos="4253"/>
        </w:tabs>
        <w:suppressAutoHyphens/>
        <w:jc w:val="center"/>
        <w:rPr>
          <w:rFonts w:ascii="Helvetica" w:hAnsi="Helvetica"/>
          <w:b/>
          <w:lang w:val="es-ES_tradnl"/>
        </w:rPr>
      </w:pPr>
      <w:r>
        <w:rPr>
          <w:rFonts w:ascii="Helvetica" w:hAnsi="Helvetica"/>
          <w:b/>
          <w:lang w:val="es-ES_tradnl"/>
        </w:rPr>
        <w:t>EN SESION DE FECHA 10 DE SETIEMBRE DE 2014</w:t>
      </w:r>
    </w:p>
    <w:p w:rsidR="00E449DC" w:rsidRDefault="00E449DC">
      <w:pPr>
        <w:tabs>
          <w:tab w:val="center" w:pos="4253"/>
        </w:tabs>
        <w:suppressAutoHyphens/>
        <w:jc w:val="center"/>
        <w:rPr>
          <w:rFonts w:ascii="Helvetica" w:hAnsi="Helvetica"/>
          <w:b/>
          <w:lang w:val="es-ES_tradnl"/>
        </w:rPr>
      </w:pPr>
    </w:p>
    <w:p w:rsidR="00E449DC" w:rsidRPr="00E449DC" w:rsidRDefault="00E449DC">
      <w:pPr>
        <w:tabs>
          <w:tab w:val="center" w:pos="4253"/>
        </w:tabs>
        <w:suppressAutoHyphens/>
        <w:jc w:val="center"/>
        <w:rPr>
          <w:rFonts w:ascii="Helvetica" w:hAnsi="Helvetica"/>
          <w:b/>
        </w:rPr>
      </w:pPr>
      <w:r w:rsidRPr="00E449DC">
        <w:rPr>
          <w:rFonts w:ascii="Helvetica" w:hAnsi="Helvetica"/>
          <w:b/>
        </w:rPr>
        <w:t>(E. E. Nº 2014-17-1-0001578, Ent. N° 4647/14)</w:t>
      </w:r>
    </w:p>
    <w:p w:rsidR="00E449DC" w:rsidRPr="00E449DC" w:rsidRDefault="00E449DC">
      <w:pPr>
        <w:tabs>
          <w:tab w:val="center" w:pos="4253"/>
        </w:tabs>
        <w:suppressAutoHyphens/>
        <w:jc w:val="center"/>
        <w:rPr>
          <w:spacing w:val="-3"/>
        </w:rPr>
      </w:pPr>
    </w:p>
    <w:p w:rsidR="00E449DC" w:rsidRPr="00E449DC" w:rsidRDefault="00E449DC">
      <w:pPr>
        <w:tabs>
          <w:tab w:val="center" w:pos="4253"/>
        </w:tabs>
        <w:suppressAutoHyphens/>
        <w:rPr>
          <w:spacing w:val="-3"/>
        </w:rPr>
      </w:pPr>
    </w:p>
    <w:p w:rsidR="008D5ECA" w:rsidRDefault="008D5ECA" w:rsidP="00E449DC">
      <w:pPr>
        <w:spacing w:line="360" w:lineRule="auto"/>
        <w:ind w:firstLine="851"/>
        <w:jc w:val="both"/>
      </w:pPr>
      <w:r>
        <w:rPr>
          <w:b/>
          <w:bCs/>
          <w:lang w:val="es-MX"/>
        </w:rPr>
        <w:t>VISTO:</w:t>
      </w:r>
      <w:r>
        <w:rPr>
          <w:lang w:val="es-MX"/>
        </w:rPr>
        <w:t xml:space="preserve"> las nuevas actuaciones remitidas por la </w:t>
      </w:r>
      <w:r>
        <w:t xml:space="preserve">Administración Nacional de Usinas y Transmisiones Eléctricas, relacionadas con la reiteración del gasto derivado de la Licitación Abreviada </w:t>
      </w:r>
      <w:r>
        <w:rPr>
          <w:rFonts w:cs="Arial"/>
          <w:lang w:val="es-MX"/>
        </w:rPr>
        <w:t xml:space="preserve">Nº </w:t>
      </w:r>
      <w:r>
        <w:t>Y45640, para el suministro de aceite Mobil Jet Oil II, destinado al sistema de lubricación de las unidades de la Central Térmica de Punta del Tigre;</w:t>
      </w:r>
    </w:p>
    <w:p w:rsidR="00E449DC" w:rsidRDefault="008D5ECA" w:rsidP="00E449DC">
      <w:pPr>
        <w:pStyle w:val="Ttulo"/>
        <w:ind w:firstLine="851"/>
        <w:jc w:val="both"/>
        <w:rPr>
          <w:b w:val="0"/>
          <w:u w:val="none"/>
        </w:rPr>
      </w:pPr>
      <w:r w:rsidRPr="00EF6F0C">
        <w:rPr>
          <w:bCs/>
          <w:u w:val="none"/>
        </w:rPr>
        <w:t>RESULTANDO:</w:t>
      </w:r>
      <w:r w:rsidR="00E449DC">
        <w:rPr>
          <w:u w:val="none"/>
        </w:rPr>
        <w:t xml:space="preserve"> </w:t>
      </w:r>
      <w:r w:rsidRPr="00EF6F0C">
        <w:rPr>
          <w:u w:val="none"/>
        </w:rPr>
        <w:t>1)</w:t>
      </w:r>
      <w:r>
        <w:rPr>
          <w:b w:val="0"/>
          <w:u w:val="none"/>
        </w:rPr>
        <w:t xml:space="preserve"> que por </w:t>
      </w:r>
      <w:r w:rsidRPr="00CA2B9A">
        <w:rPr>
          <w:b w:val="0"/>
          <w:u w:val="none"/>
        </w:rPr>
        <w:t>Resolución G. A.Nº 260/14 de fecha</w:t>
      </w:r>
      <w:r w:rsidRPr="00CA2B9A">
        <w:rPr>
          <w:b w:val="0"/>
          <w:bCs/>
          <w:u w:val="none"/>
        </w:rPr>
        <w:t xml:space="preserve"> 11/4/14, l</w:t>
      </w:r>
      <w:r w:rsidRPr="00CA2B9A">
        <w:rPr>
          <w:b w:val="0"/>
          <w:u w:val="none"/>
        </w:rPr>
        <w:t>a Gerencia de División Abastecimientos, en ejercicio de atribuciones delegadas, dispuso la adjudicación</w:t>
      </w:r>
      <w:r>
        <w:rPr>
          <w:b w:val="0"/>
          <w:u w:val="none"/>
        </w:rPr>
        <w:t xml:space="preserve">, </w:t>
      </w:r>
      <w:r w:rsidR="00E449DC">
        <w:rPr>
          <w:b w:val="0"/>
          <w:u w:val="none"/>
        </w:rPr>
        <w:t>ad refere</w:t>
      </w:r>
      <w:r w:rsidRPr="00CA2B9A">
        <w:rPr>
          <w:b w:val="0"/>
          <w:u w:val="none"/>
        </w:rPr>
        <w:t xml:space="preserve">ndum de la intervención preventiva </w:t>
      </w:r>
      <w:r>
        <w:rPr>
          <w:b w:val="0"/>
          <w:u w:val="none"/>
        </w:rPr>
        <w:t>de</w:t>
      </w:r>
      <w:r w:rsidRPr="00CA2B9A">
        <w:rPr>
          <w:b w:val="0"/>
          <w:u w:val="none"/>
        </w:rPr>
        <w:t xml:space="preserve"> este Tribunal</w:t>
      </w:r>
      <w:r>
        <w:rPr>
          <w:b w:val="0"/>
          <w:u w:val="none"/>
        </w:rPr>
        <w:t xml:space="preserve">, a </w:t>
      </w:r>
      <w:r w:rsidRPr="00CA2B9A">
        <w:rPr>
          <w:b w:val="0"/>
          <w:u w:val="none"/>
        </w:rPr>
        <w:t xml:space="preserve">Habilis SA, </w:t>
      </w:r>
      <w:r>
        <w:rPr>
          <w:b w:val="0"/>
          <w:u w:val="none"/>
        </w:rPr>
        <w:t xml:space="preserve">por un total de U$S 225.700 </w:t>
      </w:r>
      <w:r w:rsidRPr="00CA2B9A">
        <w:rPr>
          <w:b w:val="0"/>
          <w:u w:val="none"/>
        </w:rPr>
        <w:t>(IV</w:t>
      </w:r>
      <w:r w:rsidR="00E449DC">
        <w:rPr>
          <w:b w:val="0"/>
          <w:u w:val="none"/>
        </w:rPr>
        <w:t>A incluido), equivalentes a $ 5:048.</w:t>
      </w:r>
      <w:r w:rsidRPr="00CA2B9A">
        <w:rPr>
          <w:b w:val="0"/>
          <w:u w:val="none"/>
        </w:rPr>
        <w:t>231,90 (IVA incluido), al tipo de cambio $22,36 por dólar</w:t>
      </w:r>
      <w:r>
        <w:rPr>
          <w:b w:val="0"/>
          <w:u w:val="none"/>
        </w:rPr>
        <w:t>;</w:t>
      </w:r>
    </w:p>
    <w:p w:rsidR="00E449DC" w:rsidRDefault="008D5ECA" w:rsidP="00E449DC">
      <w:pPr>
        <w:pStyle w:val="Ttulo"/>
        <w:ind w:firstLine="2835"/>
        <w:jc w:val="both"/>
        <w:rPr>
          <w:b w:val="0"/>
          <w:u w:val="none"/>
        </w:rPr>
      </w:pPr>
      <w:r>
        <w:rPr>
          <w:u w:val="none"/>
        </w:rPr>
        <w:t>2)</w:t>
      </w:r>
      <w:r w:rsidR="00E449DC">
        <w:rPr>
          <w:b w:val="0"/>
          <w:u w:val="none"/>
        </w:rPr>
        <w:t xml:space="preserve"> que este Tribunal, en S</w:t>
      </w:r>
      <w:r>
        <w:rPr>
          <w:b w:val="0"/>
          <w:u w:val="none"/>
        </w:rPr>
        <w:t xml:space="preserve">esión de fecha 28/5/14, acordó observar el gasto ya que </w:t>
      </w:r>
      <w:r w:rsidRPr="003A2059">
        <w:rPr>
          <w:b w:val="0"/>
          <w:szCs w:val="24"/>
          <w:u w:val="none"/>
        </w:rPr>
        <w:t>se contravino lo dispuesto por e</w:t>
      </w:r>
      <w:r w:rsidR="00E449DC">
        <w:rPr>
          <w:b w:val="0"/>
          <w:szCs w:val="24"/>
          <w:u w:val="none"/>
        </w:rPr>
        <w:t>l A</w:t>
      </w:r>
      <w:r w:rsidRPr="003A2059">
        <w:rPr>
          <w:b w:val="0"/>
          <w:szCs w:val="24"/>
          <w:u w:val="none"/>
        </w:rPr>
        <w:t>rtículo 15 del TOCAF, al comprometer un gasto sin disponibilidad presupuestal suficiente, y asimismo</w:t>
      </w:r>
      <w:r>
        <w:rPr>
          <w:b w:val="0"/>
          <w:szCs w:val="24"/>
          <w:u w:val="none"/>
        </w:rPr>
        <w:t>,</w:t>
      </w:r>
      <w:r w:rsidRPr="003A2059">
        <w:rPr>
          <w:b w:val="0"/>
          <w:szCs w:val="24"/>
          <w:u w:val="none"/>
        </w:rPr>
        <w:t xml:space="preserve"> en razón de que se </w:t>
      </w:r>
      <w:r w:rsidR="00E449DC">
        <w:rPr>
          <w:b w:val="0"/>
          <w:szCs w:val="24"/>
          <w:u w:val="none"/>
        </w:rPr>
        <w:t>contravino lo dispuesto por el A</w:t>
      </w:r>
      <w:r w:rsidRPr="003A2059">
        <w:rPr>
          <w:b w:val="0"/>
          <w:szCs w:val="24"/>
          <w:u w:val="none"/>
        </w:rPr>
        <w:t xml:space="preserve">rtículo 48 del TOCAF, </w:t>
      </w:r>
      <w:r>
        <w:rPr>
          <w:b w:val="0"/>
          <w:szCs w:val="24"/>
          <w:u w:val="none"/>
        </w:rPr>
        <w:t>dado</w:t>
      </w:r>
      <w:r w:rsidRPr="003A2059">
        <w:rPr>
          <w:b w:val="0"/>
          <w:szCs w:val="24"/>
          <w:u w:val="none"/>
        </w:rPr>
        <w:t xml:space="preserve"> que en el Pliego de Condiciones Particulares (</w:t>
      </w:r>
      <w:r w:rsidR="00E449DC">
        <w:rPr>
          <w:b w:val="0"/>
          <w:u w:val="none"/>
        </w:rPr>
        <w:t>A</w:t>
      </w:r>
      <w:r w:rsidRPr="003A2059">
        <w:rPr>
          <w:b w:val="0"/>
          <w:u w:val="none"/>
        </w:rPr>
        <w:t>rtículo 2.1.2)</w:t>
      </w:r>
      <w:r w:rsidRPr="003A2059">
        <w:rPr>
          <w:b w:val="0"/>
          <w:szCs w:val="24"/>
          <w:u w:val="none"/>
        </w:rPr>
        <w:t xml:space="preserve"> se estableció que </w:t>
      </w:r>
      <w:r w:rsidRPr="003A2059">
        <w:rPr>
          <w:b w:val="0"/>
          <w:u w:val="none"/>
        </w:rPr>
        <w:t>las ofertas serán automáticamente rechazadas cuando el oferente no haya adquirido el Pliego de Condiciones Particulares, siendo que conforme la posición sostenida por este Tribunal, el cumplimiento de la referida condición formal</w:t>
      </w:r>
      <w:r>
        <w:rPr>
          <w:b w:val="0"/>
          <w:u w:val="none"/>
        </w:rPr>
        <w:t>,</w:t>
      </w:r>
      <w:r w:rsidRPr="003A2059">
        <w:rPr>
          <w:b w:val="0"/>
          <w:u w:val="none"/>
        </w:rPr>
        <w:t xml:space="preserve"> únicamente podrá exigirse al ofe</w:t>
      </w:r>
      <w:r>
        <w:rPr>
          <w:b w:val="0"/>
          <w:u w:val="none"/>
        </w:rPr>
        <w:t>rente que resulte adjudicatario;</w:t>
      </w:r>
    </w:p>
    <w:p w:rsidR="008D5ECA" w:rsidRDefault="008D5ECA" w:rsidP="00E449DC">
      <w:pPr>
        <w:pStyle w:val="Ttulo"/>
        <w:ind w:firstLine="2835"/>
        <w:jc w:val="both"/>
        <w:rPr>
          <w:b w:val="0"/>
          <w:u w:val="none"/>
        </w:rPr>
      </w:pPr>
      <w:r>
        <w:rPr>
          <w:u w:val="none"/>
        </w:rPr>
        <w:t xml:space="preserve">3) </w:t>
      </w:r>
      <w:r>
        <w:rPr>
          <w:b w:val="0"/>
          <w:u w:val="none"/>
        </w:rPr>
        <w:t>que en la oportunidad, la Administración remite Resolución 14-1386 de fecha 31/7/14, por la que el Directorio dispuso la reiteración del gasto de referencia, expresando que:</w:t>
      </w:r>
    </w:p>
    <w:p w:rsidR="008D5ECA" w:rsidRPr="00564659" w:rsidRDefault="008D5ECA" w:rsidP="00E449DC">
      <w:pPr>
        <w:pStyle w:val="Ttulo"/>
        <w:ind w:firstLine="2694"/>
        <w:jc w:val="both"/>
      </w:pPr>
      <w:r>
        <w:rPr>
          <w:u w:val="none"/>
        </w:rPr>
        <w:t xml:space="preserve">3.1) </w:t>
      </w:r>
      <w:r w:rsidRPr="00982CBF">
        <w:rPr>
          <w:b w:val="0"/>
          <w:u w:val="none"/>
        </w:rPr>
        <w:t>r</w:t>
      </w:r>
      <w:r>
        <w:rPr>
          <w:b w:val="0"/>
          <w:u w:val="none"/>
        </w:rPr>
        <w:t>especto a la contravenc</w:t>
      </w:r>
      <w:r w:rsidR="00E449DC">
        <w:rPr>
          <w:b w:val="0"/>
          <w:u w:val="none"/>
        </w:rPr>
        <w:t>ión de lo dispuesto por el A</w:t>
      </w:r>
      <w:r>
        <w:rPr>
          <w:b w:val="0"/>
          <w:u w:val="none"/>
        </w:rPr>
        <w:t xml:space="preserve">rtículo 48 del TOCAF, no se comparte que el hecho de exigir la adquisición del Pliego de Condiciones como requisito para participar en un procedimiento licitatorio, constituya una violación a lo establecido en dicho artículo, ya que tal como lo indican los </w:t>
      </w:r>
      <w:r>
        <w:rPr>
          <w:b w:val="0"/>
          <w:u w:val="none"/>
        </w:rPr>
        <w:lastRenderedPageBreak/>
        <w:t>propios miembros del Tribunal que no acompañaron la observación, la solicitud de acreditación de la compra del Pliego hace a razones de buena administración y economía de esfuerzos en el estudio de las Comisiones Asesoras,  asimismo el artículo 48 hace referencia a la demostración de condiciones formales de contratar, sin mencionar los requisitos exigidos que acrediten las condiciones para ofertar;</w:t>
      </w:r>
    </w:p>
    <w:p w:rsidR="008D5ECA" w:rsidRDefault="008D5ECA" w:rsidP="00E449DC">
      <w:pPr>
        <w:pStyle w:val="Ttulo"/>
        <w:ind w:firstLine="2694"/>
        <w:jc w:val="both"/>
        <w:rPr>
          <w:b w:val="0"/>
          <w:u w:val="none"/>
        </w:rPr>
      </w:pPr>
      <w:r>
        <w:rPr>
          <w:u w:val="none"/>
        </w:rPr>
        <w:t xml:space="preserve">3.2) </w:t>
      </w:r>
      <w:r>
        <w:rPr>
          <w:b w:val="0"/>
          <w:u w:val="none"/>
        </w:rPr>
        <w:t xml:space="preserve">el numeral 2.1.2 del Pliego de Condiciones establece que </w:t>
      </w:r>
      <w:r w:rsidRPr="003A2059">
        <w:rPr>
          <w:b w:val="0"/>
          <w:u w:val="none"/>
        </w:rPr>
        <w:t>las ofertas serán automáticamente rechazadas</w:t>
      </w:r>
      <w:r>
        <w:rPr>
          <w:b w:val="0"/>
          <w:u w:val="none"/>
        </w:rPr>
        <w:t>,</w:t>
      </w:r>
      <w:r w:rsidRPr="003A2059">
        <w:rPr>
          <w:b w:val="0"/>
          <w:u w:val="none"/>
        </w:rPr>
        <w:t xml:space="preserve"> cuando</w:t>
      </w:r>
      <w:r>
        <w:rPr>
          <w:b w:val="0"/>
          <w:u w:val="none"/>
        </w:rPr>
        <w:t xml:space="preserve"> no se acredite la compra del Pliego, encontrándose esta disposición reforzada por el contenido del numeral 8.2 del Pliego Único de bases y condiciones generales para los contratos de suministros y servicios no personales en los organismos públicos, que en lo referente a la documentación a presentar </w:t>
      </w:r>
      <w:r w:rsidR="00E449DC">
        <w:rPr>
          <w:b w:val="0"/>
          <w:u w:val="none"/>
        </w:rPr>
        <w:t>con la oferta, establece en su L</w:t>
      </w:r>
      <w:r>
        <w:rPr>
          <w:b w:val="0"/>
          <w:u w:val="none"/>
        </w:rPr>
        <w:t xml:space="preserve">iteral d), el comprobante de adquisición del Pliego; y </w:t>
      </w:r>
    </w:p>
    <w:p w:rsidR="008D5ECA" w:rsidRDefault="008D5ECA" w:rsidP="00E449DC">
      <w:pPr>
        <w:pStyle w:val="Ttulo"/>
        <w:ind w:firstLine="2694"/>
        <w:jc w:val="both"/>
        <w:rPr>
          <w:b w:val="0"/>
          <w:u w:val="none"/>
        </w:rPr>
      </w:pPr>
      <w:r>
        <w:rPr>
          <w:u w:val="none"/>
        </w:rPr>
        <w:t xml:space="preserve">3.3) </w:t>
      </w:r>
      <w:r>
        <w:rPr>
          <w:b w:val="0"/>
          <w:u w:val="none"/>
        </w:rPr>
        <w:t>en relación a la no existencia de disponibilidad suficiente, la Gerencia Generación mantiene la necesidad de contar con el suministro objeto de este contrato, ya que el mismo es un lubricante imprescindible para la operación de las turbinas de Punta del Tigre, que integra el grupo de Combustibles Críticos definidos por Generación Térmica, por lo que resulta necesario continuar con la contratación de referencia;</w:t>
      </w:r>
    </w:p>
    <w:p w:rsidR="00E449DC" w:rsidRDefault="008D5ECA" w:rsidP="00E449DC">
      <w:pPr>
        <w:spacing w:line="360" w:lineRule="auto"/>
        <w:ind w:firstLine="851"/>
        <w:jc w:val="both"/>
        <w:rPr>
          <w:rFonts w:cs="Arial"/>
          <w:szCs w:val="24"/>
          <w:lang w:val="es-MX"/>
        </w:rPr>
      </w:pPr>
      <w:r w:rsidRPr="008A7529">
        <w:rPr>
          <w:b/>
        </w:rPr>
        <w:t xml:space="preserve">CONSIDERANDO: </w:t>
      </w:r>
      <w:r w:rsidRPr="008A7529">
        <w:rPr>
          <w:b/>
          <w:bCs/>
        </w:rPr>
        <w:t>1)</w:t>
      </w:r>
      <w:r w:rsidRPr="008A7529">
        <w:rPr>
          <w:bCs/>
        </w:rPr>
        <w:t xml:space="preserve"> que</w:t>
      </w:r>
      <w:r w:rsidR="00AD6C4A">
        <w:rPr>
          <w:bCs/>
        </w:rPr>
        <w:t xml:space="preserve"> </w:t>
      </w:r>
      <w:r>
        <w:rPr>
          <w:rFonts w:cs="Arial"/>
          <w:szCs w:val="24"/>
          <w:lang w:val="es-MX"/>
        </w:rPr>
        <w:t>en relación a la observación por haberse co</w:t>
      </w:r>
      <w:r w:rsidR="00E449DC">
        <w:rPr>
          <w:rFonts w:cs="Arial"/>
          <w:szCs w:val="24"/>
          <w:lang w:val="es-MX"/>
        </w:rPr>
        <w:t>ntravenido lo dispuesto por el A</w:t>
      </w:r>
      <w:r>
        <w:rPr>
          <w:rFonts w:cs="Arial"/>
          <w:szCs w:val="24"/>
          <w:lang w:val="es-MX"/>
        </w:rPr>
        <w:t>rtículo 15 del TOCAF, la argumentación esgrimida no guarda relación con la causal que motivó la misma;</w:t>
      </w:r>
    </w:p>
    <w:p w:rsidR="00E449DC" w:rsidRDefault="00AD6C4A" w:rsidP="00E449DC">
      <w:pPr>
        <w:spacing w:line="360" w:lineRule="auto"/>
        <w:ind w:firstLine="3119"/>
        <w:jc w:val="both"/>
      </w:pPr>
      <w:r>
        <w:rPr>
          <w:rFonts w:cs="Arial"/>
          <w:b/>
          <w:szCs w:val="24"/>
          <w:lang w:val="es-MX"/>
        </w:rPr>
        <w:t>2)</w:t>
      </w:r>
      <w:r w:rsidR="00E37B23">
        <w:rPr>
          <w:rFonts w:cs="Arial"/>
          <w:b/>
          <w:szCs w:val="24"/>
          <w:lang w:val="es-MX"/>
        </w:rPr>
        <w:t xml:space="preserve"> </w:t>
      </w:r>
      <w:r w:rsidR="00E37B23" w:rsidRPr="008A7529">
        <w:rPr>
          <w:bCs/>
        </w:rPr>
        <w:t xml:space="preserve">que </w:t>
      </w:r>
      <w:r w:rsidR="00E37B23">
        <w:rPr>
          <w:bCs/>
        </w:rPr>
        <w:t>en relación a la contra</w:t>
      </w:r>
      <w:r w:rsidR="00E449DC">
        <w:rPr>
          <w:bCs/>
        </w:rPr>
        <w:t>vención de lo dispuesto por el A</w:t>
      </w:r>
      <w:r w:rsidR="00E37B23">
        <w:rPr>
          <w:bCs/>
        </w:rPr>
        <w:t xml:space="preserve">rtículo 48 del TOCAF, </w:t>
      </w:r>
      <w:r w:rsidR="00E449DC">
        <w:t>el A</w:t>
      </w:r>
      <w:r w:rsidR="00E37B23">
        <w:t>rtículo 8 del Pliego Único de B</w:t>
      </w:r>
      <w:r w:rsidR="00E37B23" w:rsidRPr="008067E1">
        <w:t xml:space="preserve">ases y </w:t>
      </w:r>
      <w:r w:rsidR="00E37B23">
        <w:t>Condiciones G</w:t>
      </w:r>
      <w:r w:rsidR="00E37B23" w:rsidRPr="008067E1">
        <w:t>enerales</w:t>
      </w:r>
      <w:r w:rsidR="00E37B23">
        <w:t xml:space="preserve"> (vigente al momen</w:t>
      </w:r>
      <w:r w:rsidR="00E449DC">
        <w:t>to de la contratación),  en su N</w:t>
      </w:r>
      <w:r w:rsidR="00E37B23">
        <w:t>umeral 2) establece los diversos documentos a presentar con la oferta, cuando co</w:t>
      </w:r>
      <w:r w:rsidR="00E449DC">
        <w:t>rresponda, estableciendo en su L</w:t>
      </w:r>
      <w:r w:rsidR="00E37B23">
        <w:t xml:space="preserve">iteral d), </w:t>
      </w:r>
      <w:r w:rsidR="00E37B23" w:rsidRPr="002802B2">
        <w:t>el comprobante de adquisición del Pliego</w:t>
      </w:r>
      <w:r w:rsidR="00E37B23">
        <w:t xml:space="preserve"> de Con</w:t>
      </w:r>
      <w:r w:rsidR="00E449DC">
        <w:t>diciones Particulares, y en su N</w:t>
      </w:r>
      <w:r w:rsidR="00E37B23">
        <w:t>umeral 8.3 “Requisitos adicionales” preceptúa que “</w:t>
      </w:r>
      <w:r w:rsidR="00E37B23" w:rsidRPr="006255E2">
        <w:rPr>
          <w:i/>
        </w:rPr>
        <w:t xml:space="preserve">el Pliego Particular no podrá imponer al oferente ningún requisito adicional que no esté directamente vinculado a la consideración del objeto de la contratación y a la evaluación de la oferta, reservándose sólo al oferente que resulte adjudicatario, la carga administrativa de la demostración de estar en condiciones formales de contratar, sin perjuicio </w:t>
      </w:r>
      <w:r w:rsidR="00E37B23" w:rsidRPr="006255E2">
        <w:rPr>
          <w:i/>
        </w:rPr>
        <w:lastRenderedPageBreak/>
        <w:t>de las responsabilidades penales, civiles o administra</w:t>
      </w:r>
      <w:r w:rsidR="00E37B23">
        <w:rPr>
          <w:i/>
        </w:rPr>
        <w:t>tivas que pudieren corresponder”</w:t>
      </w:r>
      <w:r w:rsidR="00E37B23">
        <w:t>;</w:t>
      </w:r>
    </w:p>
    <w:p w:rsidR="00E37B23" w:rsidRDefault="00E37B23" w:rsidP="00E449DC">
      <w:pPr>
        <w:spacing w:line="360" w:lineRule="auto"/>
        <w:ind w:firstLine="3119"/>
        <w:jc w:val="both"/>
      </w:pPr>
      <w:r>
        <w:rPr>
          <w:rFonts w:cs="Arial"/>
          <w:b/>
          <w:szCs w:val="24"/>
        </w:rPr>
        <w:t>3)</w:t>
      </w:r>
      <w:r>
        <w:rPr>
          <w:rFonts w:cs="Arial"/>
          <w:szCs w:val="24"/>
        </w:rPr>
        <w:t xml:space="preserve"> que </w:t>
      </w:r>
      <w:r>
        <w:t>por Decreto 131/014 de fecha 19/5/14, se aprobó el nuevo Pliego de Bases y Condiciones Generales para los contratos de suministros y</w:t>
      </w:r>
      <w:r w:rsidR="00E449DC">
        <w:t xml:space="preserve"> servicios no personales, cuyo A</w:t>
      </w:r>
      <w:r>
        <w:t>rtículo 9 establece los requisitos para la presentación de las ofertas, reproduciendo textua</w:t>
      </w:r>
      <w:r w:rsidR="00E449DC">
        <w:t>lmente el penúltimo inciso del A</w:t>
      </w:r>
      <w:r>
        <w:t xml:space="preserve">rtículo 48 del TOCAF </w:t>
      </w:r>
      <w:r>
        <w:rPr>
          <w:i/>
        </w:rPr>
        <w:t>(El Pliego Particular no podrá imponer al oferente ….)</w:t>
      </w:r>
      <w:r w:rsidR="00E449DC">
        <w:t>; y su N</w:t>
      </w:r>
      <w:r>
        <w:t>umeral 2) refiere a los requisitos previos a la presentación de la oferta, preceptuando que cuando cor</w:t>
      </w:r>
      <w:r w:rsidR="00FB0044">
        <w:t>responda, el oferente deberá:</w:t>
      </w:r>
      <w:r>
        <w:t xml:space="preserve"> adquirir el Pliego cuando el mismo tenga costo. En consecuencia, s</w:t>
      </w:r>
      <w:r w:rsidR="00FB0044">
        <w:t>i conforme lo dispuesto por el A</w:t>
      </w:r>
      <w:r>
        <w:t>rtículo 48 del TOCAF, la Administración dispone que el Pliego de Condiciones Particulares de un llamado tendrá costo, su adquisición por parte del oferente constituye un requisito previo a la presentación de la oferta, tratándose de una condición para ofertar, y por tanto un requisito de admisibilidad en el procedimiento;</w:t>
      </w:r>
    </w:p>
    <w:p w:rsidR="008D5ECA" w:rsidRDefault="008D5ECA" w:rsidP="00FB0044">
      <w:pPr>
        <w:spacing w:line="360" w:lineRule="auto"/>
        <w:ind w:firstLine="851"/>
        <w:jc w:val="both"/>
        <w:rPr>
          <w:lang w:val="es-MX"/>
        </w:rPr>
      </w:pPr>
      <w:r>
        <w:rPr>
          <w:b/>
          <w:bCs/>
          <w:lang w:val="es-MX"/>
        </w:rPr>
        <w:t xml:space="preserve">ATENTO: </w:t>
      </w:r>
      <w:r>
        <w:rPr>
          <w:lang w:val="es-MX"/>
        </w:rPr>
        <w:t>a lo ex</w:t>
      </w:r>
      <w:r w:rsidR="00FB0044">
        <w:rPr>
          <w:lang w:val="es-MX"/>
        </w:rPr>
        <w:t>puesto y a lo dispuesto por el Artículo 211 L</w:t>
      </w:r>
      <w:r>
        <w:rPr>
          <w:lang w:val="es-MX"/>
        </w:rPr>
        <w:t>iteral B) de la Constitución de la República;</w:t>
      </w:r>
    </w:p>
    <w:p w:rsidR="008D5ECA" w:rsidRDefault="008D5ECA" w:rsidP="008D5ECA">
      <w:pPr>
        <w:pStyle w:val="Ttulo5"/>
      </w:pPr>
      <w:r>
        <w:t>EL TRIBUNAL ACUERDA</w:t>
      </w:r>
    </w:p>
    <w:p w:rsidR="00AD6C4A" w:rsidRDefault="00AD6C4A" w:rsidP="00AD6C4A">
      <w:pPr>
        <w:numPr>
          <w:ilvl w:val="0"/>
          <w:numId w:val="2"/>
        </w:numPr>
        <w:spacing w:line="360" w:lineRule="auto"/>
        <w:jc w:val="both"/>
        <w:rPr>
          <w:bCs/>
        </w:rPr>
      </w:pPr>
      <w:r>
        <w:rPr>
          <w:bCs/>
        </w:rPr>
        <w:t xml:space="preserve">Mantener la observación formulada con fecha 28/5/14, en relación </w:t>
      </w:r>
      <w:r w:rsidR="00FB0044">
        <w:rPr>
          <w:bCs/>
        </w:rPr>
        <w:t>a la contravención del A</w:t>
      </w:r>
      <w:r>
        <w:rPr>
          <w:bCs/>
        </w:rPr>
        <w:t>rtículo 15 del TOCAF, por lo e</w:t>
      </w:r>
      <w:r w:rsidR="00FB0044">
        <w:rPr>
          <w:bCs/>
        </w:rPr>
        <w:t>xpresado en el Considerando  1);</w:t>
      </w:r>
    </w:p>
    <w:p w:rsidR="00AD6C4A" w:rsidRDefault="00AD6C4A" w:rsidP="00AD6C4A">
      <w:pPr>
        <w:numPr>
          <w:ilvl w:val="0"/>
          <w:numId w:val="2"/>
        </w:numPr>
        <w:spacing w:line="360" w:lineRule="auto"/>
        <w:jc w:val="both"/>
        <w:rPr>
          <w:bCs/>
        </w:rPr>
      </w:pPr>
      <w:r>
        <w:rPr>
          <w:bCs/>
        </w:rPr>
        <w:t>Levantar la observación formulada con fecha 28/5/14, en r</w:t>
      </w:r>
      <w:r w:rsidR="00FB0044">
        <w:rPr>
          <w:bCs/>
        </w:rPr>
        <w:t>elación a la contravención del A</w:t>
      </w:r>
      <w:r>
        <w:rPr>
          <w:bCs/>
        </w:rPr>
        <w:t xml:space="preserve">rtículo 48 del TOCAF, por lo expresado en los Considerandos 2) </w:t>
      </w:r>
      <w:r w:rsidR="00E37B23">
        <w:rPr>
          <w:bCs/>
        </w:rPr>
        <w:t>y 3</w:t>
      </w:r>
      <w:r w:rsidR="00FB0044">
        <w:rPr>
          <w:bCs/>
        </w:rPr>
        <w:t>);</w:t>
      </w:r>
    </w:p>
    <w:p w:rsidR="00AD6C4A" w:rsidRDefault="00FB0044" w:rsidP="00AD6C4A">
      <w:pPr>
        <w:numPr>
          <w:ilvl w:val="0"/>
          <w:numId w:val="2"/>
        </w:numPr>
        <w:spacing w:line="360" w:lineRule="auto"/>
        <w:jc w:val="both"/>
        <w:rPr>
          <w:bCs/>
        </w:rPr>
      </w:pPr>
      <w:r w:rsidRPr="00AD6C4A">
        <w:rPr>
          <w:bCs/>
        </w:rPr>
        <w:t>Comunicar a la Administración actuante</w:t>
      </w:r>
      <w:r>
        <w:rPr>
          <w:bCs/>
        </w:rPr>
        <w:t>;</w:t>
      </w:r>
    </w:p>
    <w:p w:rsidR="008D5ECA" w:rsidRDefault="00FB0044" w:rsidP="00AD6C4A">
      <w:pPr>
        <w:pStyle w:val="Prrafodelista"/>
        <w:numPr>
          <w:ilvl w:val="0"/>
          <w:numId w:val="2"/>
        </w:numPr>
        <w:spacing w:line="360" w:lineRule="auto"/>
        <w:jc w:val="both"/>
        <w:rPr>
          <w:bCs/>
        </w:rPr>
      </w:pPr>
      <w:r>
        <w:rPr>
          <w:bCs/>
        </w:rPr>
        <w:t>Dar cuenta a la Asamblea General</w:t>
      </w:r>
      <w:r w:rsidR="008D5ECA" w:rsidRPr="00AD6C4A">
        <w:rPr>
          <w:bCs/>
        </w:rPr>
        <w:t>.</w:t>
      </w:r>
    </w:p>
    <w:p w:rsidR="00FB0044" w:rsidRDefault="00FB0044" w:rsidP="00FB0044">
      <w:pPr>
        <w:spacing w:line="360" w:lineRule="auto"/>
        <w:jc w:val="both"/>
        <w:rPr>
          <w:bCs/>
        </w:rPr>
      </w:pPr>
    </w:p>
    <w:p w:rsidR="00FB0044" w:rsidRDefault="00FB0044" w:rsidP="00FB0044">
      <w:pPr>
        <w:spacing w:line="360" w:lineRule="auto"/>
        <w:jc w:val="both"/>
        <w:rPr>
          <w:bCs/>
        </w:rPr>
      </w:pPr>
    </w:p>
    <w:p w:rsidR="00FB0044" w:rsidRDefault="00FB0044" w:rsidP="00FB0044">
      <w:pPr>
        <w:spacing w:line="360" w:lineRule="auto"/>
        <w:jc w:val="both"/>
        <w:rPr>
          <w:bCs/>
        </w:rPr>
      </w:pPr>
    </w:p>
    <w:p w:rsidR="00FB0044" w:rsidRDefault="00FB0044" w:rsidP="00FB0044">
      <w:pPr>
        <w:spacing w:line="360" w:lineRule="auto"/>
        <w:jc w:val="both"/>
        <w:rPr>
          <w:bCs/>
        </w:rPr>
      </w:pPr>
    </w:p>
    <w:p w:rsidR="00FB0044" w:rsidRPr="00FB0044" w:rsidRDefault="00FB0044" w:rsidP="00FB0044">
      <w:pPr>
        <w:spacing w:line="360" w:lineRule="auto"/>
        <w:ind w:hanging="284"/>
        <w:jc w:val="both"/>
        <w:rPr>
          <w:bCs/>
        </w:rPr>
      </w:pPr>
      <w:r>
        <w:rPr>
          <w:bCs/>
        </w:rPr>
        <w:t>dc</w:t>
      </w:r>
    </w:p>
    <w:sectPr w:rsidR="00FB0044" w:rsidRPr="00FB0044" w:rsidSect="00FB0044">
      <w:pgSz w:w="11906" w:h="16838" w:code="9"/>
      <w:pgMar w:top="3119"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1705F"/>
    <w:multiLevelType w:val="hybridMultilevel"/>
    <w:tmpl w:val="25F6BE26"/>
    <w:lvl w:ilvl="0" w:tplc="F4E6C79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EE74AC9"/>
    <w:multiLevelType w:val="hybridMultilevel"/>
    <w:tmpl w:val="25F6BE26"/>
    <w:lvl w:ilvl="0" w:tplc="F4E6C79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ECA"/>
    <w:rsid w:val="005321ED"/>
    <w:rsid w:val="0074707E"/>
    <w:rsid w:val="008D5ECA"/>
    <w:rsid w:val="00AD6C4A"/>
    <w:rsid w:val="00E37B23"/>
    <w:rsid w:val="00E449DC"/>
    <w:rsid w:val="00FB00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ECA"/>
    <w:pPr>
      <w:spacing w:after="0" w:line="240" w:lineRule="auto"/>
    </w:pPr>
    <w:rPr>
      <w:rFonts w:ascii="Arial" w:eastAsia="Times New Roman" w:hAnsi="Arial" w:cs="Times New Roman"/>
      <w:sz w:val="24"/>
      <w:szCs w:val="20"/>
      <w:lang w:eastAsia="es-ES"/>
    </w:rPr>
  </w:style>
  <w:style w:type="paragraph" w:styleId="Ttulo1">
    <w:name w:val="heading 1"/>
    <w:basedOn w:val="Normal"/>
    <w:next w:val="Normal"/>
    <w:link w:val="Ttulo1Car"/>
    <w:qFormat/>
    <w:rsid w:val="008D5ECA"/>
    <w:pPr>
      <w:keepNext/>
      <w:spacing w:line="360" w:lineRule="auto"/>
      <w:jc w:val="both"/>
      <w:outlineLvl w:val="0"/>
    </w:pPr>
    <w:rPr>
      <w:rFonts w:cs="Arial"/>
      <w:b/>
      <w:bCs/>
      <w:lang w:val="es-MX"/>
    </w:rPr>
  </w:style>
  <w:style w:type="paragraph" w:styleId="Ttulo5">
    <w:name w:val="heading 5"/>
    <w:basedOn w:val="Normal"/>
    <w:next w:val="Normal"/>
    <w:link w:val="Ttulo5Car"/>
    <w:qFormat/>
    <w:rsid w:val="008D5ECA"/>
    <w:pPr>
      <w:keepNext/>
      <w:spacing w:line="360" w:lineRule="auto"/>
      <w:jc w:val="center"/>
      <w:outlineLvl w:val="4"/>
    </w:pPr>
    <w:rPr>
      <w:b/>
      <w:b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D5ECA"/>
    <w:rPr>
      <w:rFonts w:ascii="Arial" w:eastAsia="Times New Roman" w:hAnsi="Arial" w:cs="Arial"/>
      <w:b/>
      <w:bCs/>
      <w:sz w:val="24"/>
      <w:szCs w:val="20"/>
      <w:lang w:val="es-MX" w:eastAsia="es-ES"/>
    </w:rPr>
  </w:style>
  <w:style w:type="character" w:customStyle="1" w:styleId="Ttulo5Car">
    <w:name w:val="Título 5 Car"/>
    <w:basedOn w:val="Fuentedeprrafopredeter"/>
    <w:link w:val="Ttulo5"/>
    <w:rsid w:val="008D5ECA"/>
    <w:rPr>
      <w:rFonts w:ascii="Arial" w:eastAsia="Times New Roman" w:hAnsi="Arial" w:cs="Times New Roman"/>
      <w:b/>
      <w:bCs/>
      <w:sz w:val="24"/>
      <w:szCs w:val="20"/>
      <w:lang w:val="es-MX" w:eastAsia="es-ES"/>
    </w:rPr>
  </w:style>
  <w:style w:type="paragraph" w:styleId="Ttulo">
    <w:name w:val="Title"/>
    <w:basedOn w:val="Normal"/>
    <w:link w:val="TtuloCar"/>
    <w:qFormat/>
    <w:rsid w:val="008D5ECA"/>
    <w:pPr>
      <w:spacing w:line="360" w:lineRule="auto"/>
      <w:jc w:val="center"/>
    </w:pPr>
    <w:rPr>
      <w:rFonts w:cs="Arial"/>
      <w:b/>
      <w:u w:val="single"/>
      <w:lang w:val="es-MX"/>
    </w:rPr>
  </w:style>
  <w:style w:type="character" w:customStyle="1" w:styleId="TtuloCar">
    <w:name w:val="Título Car"/>
    <w:basedOn w:val="Fuentedeprrafopredeter"/>
    <w:link w:val="Ttulo"/>
    <w:rsid w:val="008D5ECA"/>
    <w:rPr>
      <w:rFonts w:ascii="Arial" w:eastAsia="Times New Roman" w:hAnsi="Arial" w:cs="Arial"/>
      <w:b/>
      <w:sz w:val="24"/>
      <w:szCs w:val="20"/>
      <w:u w:val="single"/>
      <w:lang w:val="es-MX" w:eastAsia="es-ES"/>
    </w:rPr>
  </w:style>
  <w:style w:type="paragraph" w:styleId="Prrafodelista">
    <w:name w:val="List Paragraph"/>
    <w:basedOn w:val="Normal"/>
    <w:uiPriority w:val="34"/>
    <w:qFormat/>
    <w:rsid w:val="00AD6C4A"/>
    <w:pPr>
      <w:ind w:left="720"/>
      <w:contextualSpacing/>
    </w:pPr>
  </w:style>
  <w:style w:type="paragraph" w:styleId="Textoindependiente">
    <w:name w:val="Body Text"/>
    <w:basedOn w:val="Normal"/>
    <w:link w:val="TextoindependienteCar"/>
    <w:rsid w:val="00E37B23"/>
    <w:pPr>
      <w:spacing w:line="360" w:lineRule="auto"/>
      <w:jc w:val="both"/>
    </w:pPr>
    <w:rPr>
      <w:bCs/>
      <w:lang w:val="es-MX"/>
    </w:rPr>
  </w:style>
  <w:style w:type="character" w:customStyle="1" w:styleId="TextoindependienteCar">
    <w:name w:val="Texto independiente Car"/>
    <w:basedOn w:val="Fuentedeprrafopredeter"/>
    <w:link w:val="Textoindependiente"/>
    <w:rsid w:val="00E37B23"/>
    <w:rPr>
      <w:rFonts w:ascii="Arial" w:eastAsia="Times New Roman" w:hAnsi="Arial" w:cs="Times New Roman"/>
      <w:bCs/>
      <w:sz w:val="24"/>
      <w:szCs w:val="20"/>
      <w:lang w:val="es-MX" w:eastAsia="es-ES"/>
    </w:rPr>
  </w:style>
  <w:style w:type="paragraph" w:styleId="Textodeglobo">
    <w:name w:val="Balloon Text"/>
    <w:basedOn w:val="Normal"/>
    <w:link w:val="TextodegloboCar"/>
    <w:uiPriority w:val="99"/>
    <w:semiHidden/>
    <w:unhideWhenUsed/>
    <w:rsid w:val="0074707E"/>
    <w:rPr>
      <w:rFonts w:ascii="Tahoma" w:hAnsi="Tahoma" w:cs="Tahoma"/>
      <w:sz w:val="16"/>
      <w:szCs w:val="16"/>
    </w:rPr>
  </w:style>
  <w:style w:type="character" w:customStyle="1" w:styleId="TextodegloboCar">
    <w:name w:val="Texto de globo Car"/>
    <w:basedOn w:val="Fuentedeprrafopredeter"/>
    <w:link w:val="Textodeglobo"/>
    <w:uiPriority w:val="99"/>
    <w:semiHidden/>
    <w:rsid w:val="0074707E"/>
    <w:rPr>
      <w:rFonts w:ascii="Tahoma" w:eastAsia="Times New Roman"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ECA"/>
    <w:pPr>
      <w:spacing w:after="0" w:line="240" w:lineRule="auto"/>
    </w:pPr>
    <w:rPr>
      <w:rFonts w:ascii="Arial" w:eastAsia="Times New Roman" w:hAnsi="Arial" w:cs="Times New Roman"/>
      <w:sz w:val="24"/>
      <w:szCs w:val="20"/>
      <w:lang w:eastAsia="es-ES"/>
    </w:rPr>
  </w:style>
  <w:style w:type="paragraph" w:styleId="Ttulo1">
    <w:name w:val="heading 1"/>
    <w:basedOn w:val="Normal"/>
    <w:next w:val="Normal"/>
    <w:link w:val="Ttulo1Car"/>
    <w:qFormat/>
    <w:rsid w:val="008D5ECA"/>
    <w:pPr>
      <w:keepNext/>
      <w:spacing w:line="360" w:lineRule="auto"/>
      <w:jc w:val="both"/>
      <w:outlineLvl w:val="0"/>
    </w:pPr>
    <w:rPr>
      <w:rFonts w:cs="Arial"/>
      <w:b/>
      <w:bCs/>
      <w:lang w:val="es-MX"/>
    </w:rPr>
  </w:style>
  <w:style w:type="paragraph" w:styleId="Ttulo5">
    <w:name w:val="heading 5"/>
    <w:basedOn w:val="Normal"/>
    <w:next w:val="Normal"/>
    <w:link w:val="Ttulo5Car"/>
    <w:qFormat/>
    <w:rsid w:val="008D5ECA"/>
    <w:pPr>
      <w:keepNext/>
      <w:spacing w:line="360" w:lineRule="auto"/>
      <w:jc w:val="center"/>
      <w:outlineLvl w:val="4"/>
    </w:pPr>
    <w:rPr>
      <w:b/>
      <w:b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D5ECA"/>
    <w:rPr>
      <w:rFonts w:ascii="Arial" w:eastAsia="Times New Roman" w:hAnsi="Arial" w:cs="Arial"/>
      <w:b/>
      <w:bCs/>
      <w:sz w:val="24"/>
      <w:szCs w:val="20"/>
      <w:lang w:val="es-MX" w:eastAsia="es-ES"/>
    </w:rPr>
  </w:style>
  <w:style w:type="character" w:customStyle="1" w:styleId="Ttulo5Car">
    <w:name w:val="Título 5 Car"/>
    <w:basedOn w:val="Fuentedeprrafopredeter"/>
    <w:link w:val="Ttulo5"/>
    <w:rsid w:val="008D5ECA"/>
    <w:rPr>
      <w:rFonts w:ascii="Arial" w:eastAsia="Times New Roman" w:hAnsi="Arial" w:cs="Times New Roman"/>
      <w:b/>
      <w:bCs/>
      <w:sz w:val="24"/>
      <w:szCs w:val="20"/>
      <w:lang w:val="es-MX" w:eastAsia="es-ES"/>
    </w:rPr>
  </w:style>
  <w:style w:type="paragraph" w:styleId="Ttulo">
    <w:name w:val="Title"/>
    <w:basedOn w:val="Normal"/>
    <w:link w:val="TtuloCar"/>
    <w:qFormat/>
    <w:rsid w:val="008D5ECA"/>
    <w:pPr>
      <w:spacing w:line="360" w:lineRule="auto"/>
      <w:jc w:val="center"/>
    </w:pPr>
    <w:rPr>
      <w:rFonts w:cs="Arial"/>
      <w:b/>
      <w:u w:val="single"/>
      <w:lang w:val="es-MX"/>
    </w:rPr>
  </w:style>
  <w:style w:type="character" w:customStyle="1" w:styleId="TtuloCar">
    <w:name w:val="Título Car"/>
    <w:basedOn w:val="Fuentedeprrafopredeter"/>
    <w:link w:val="Ttulo"/>
    <w:rsid w:val="008D5ECA"/>
    <w:rPr>
      <w:rFonts w:ascii="Arial" w:eastAsia="Times New Roman" w:hAnsi="Arial" w:cs="Arial"/>
      <w:b/>
      <w:sz w:val="24"/>
      <w:szCs w:val="20"/>
      <w:u w:val="single"/>
      <w:lang w:val="es-MX" w:eastAsia="es-ES"/>
    </w:rPr>
  </w:style>
  <w:style w:type="paragraph" w:styleId="Prrafodelista">
    <w:name w:val="List Paragraph"/>
    <w:basedOn w:val="Normal"/>
    <w:uiPriority w:val="34"/>
    <w:qFormat/>
    <w:rsid w:val="00AD6C4A"/>
    <w:pPr>
      <w:ind w:left="720"/>
      <w:contextualSpacing/>
    </w:pPr>
  </w:style>
  <w:style w:type="paragraph" w:styleId="Textoindependiente">
    <w:name w:val="Body Text"/>
    <w:basedOn w:val="Normal"/>
    <w:link w:val="TextoindependienteCar"/>
    <w:rsid w:val="00E37B23"/>
    <w:pPr>
      <w:spacing w:line="360" w:lineRule="auto"/>
      <w:jc w:val="both"/>
    </w:pPr>
    <w:rPr>
      <w:bCs/>
      <w:lang w:val="es-MX"/>
    </w:rPr>
  </w:style>
  <w:style w:type="character" w:customStyle="1" w:styleId="TextoindependienteCar">
    <w:name w:val="Texto independiente Car"/>
    <w:basedOn w:val="Fuentedeprrafopredeter"/>
    <w:link w:val="Textoindependiente"/>
    <w:rsid w:val="00E37B23"/>
    <w:rPr>
      <w:rFonts w:ascii="Arial" w:eastAsia="Times New Roman" w:hAnsi="Arial" w:cs="Times New Roman"/>
      <w:bCs/>
      <w:sz w:val="24"/>
      <w:szCs w:val="20"/>
      <w:lang w:val="es-MX" w:eastAsia="es-ES"/>
    </w:rPr>
  </w:style>
  <w:style w:type="paragraph" w:styleId="Textodeglobo">
    <w:name w:val="Balloon Text"/>
    <w:basedOn w:val="Normal"/>
    <w:link w:val="TextodegloboCar"/>
    <w:uiPriority w:val="99"/>
    <w:semiHidden/>
    <w:unhideWhenUsed/>
    <w:rsid w:val="0074707E"/>
    <w:rPr>
      <w:rFonts w:ascii="Tahoma" w:hAnsi="Tahoma" w:cs="Tahoma"/>
      <w:sz w:val="16"/>
      <w:szCs w:val="16"/>
    </w:rPr>
  </w:style>
  <w:style w:type="character" w:customStyle="1" w:styleId="TextodegloboCar">
    <w:name w:val="Texto de globo Car"/>
    <w:basedOn w:val="Fuentedeprrafopredeter"/>
    <w:link w:val="Textodeglobo"/>
    <w:uiPriority w:val="99"/>
    <w:semiHidden/>
    <w:rsid w:val="0074707E"/>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905</Words>
  <Characters>4979</Characters>
  <Application>Microsoft Office Word</Application>
  <DocSecurity>4</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GABY LEDESMA GAYA</dc:creator>
  <cp:keywords/>
  <dc:description/>
  <cp:lastModifiedBy>27391107</cp:lastModifiedBy>
  <cp:revision>2</cp:revision>
  <cp:lastPrinted>2014-08-29T17:48:00Z</cp:lastPrinted>
  <dcterms:created xsi:type="dcterms:W3CDTF">2014-09-16T17:17:00Z</dcterms:created>
  <dcterms:modified xsi:type="dcterms:W3CDTF">2014-09-16T17:17:00Z</dcterms:modified>
</cp:coreProperties>
</file>