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5F5" w:rsidRDefault="004105F5" w:rsidP="00732045">
      <w:pPr>
        <w:keepNext/>
        <w:widowControl w:val="0"/>
        <w:tabs>
          <w:tab w:val="center" w:pos="4253"/>
        </w:tabs>
        <w:jc w:val="center"/>
        <w:rPr>
          <w:rFonts w:ascii="Helvetica" w:hAnsi="Helvetica"/>
          <w:b/>
          <w:lang w:val="es-ES_tradnl"/>
        </w:rPr>
      </w:pPr>
      <w:bookmarkStart w:id="0" w:name="_GoBack"/>
      <w:bookmarkEnd w:id="0"/>
      <w:r>
        <w:rPr>
          <w:rFonts w:ascii="Helvetica" w:hAnsi="Helvetica"/>
          <w:b/>
          <w:lang w:val="es-ES_tradnl"/>
        </w:rPr>
        <w:t>RESOLUCION ADOPTADA POR EL</w:t>
      </w:r>
    </w:p>
    <w:p w:rsidR="004105F5" w:rsidRDefault="004105F5" w:rsidP="00732045">
      <w:pPr>
        <w:keepNext/>
        <w:widowControl w:val="0"/>
        <w:tabs>
          <w:tab w:val="left" w:pos="-720"/>
        </w:tabs>
        <w:jc w:val="center"/>
        <w:rPr>
          <w:rFonts w:ascii="Helvetica" w:hAnsi="Helvetica"/>
          <w:b/>
          <w:lang w:val="es-ES_tradnl"/>
        </w:rPr>
      </w:pPr>
    </w:p>
    <w:p w:rsidR="004105F5" w:rsidRDefault="004105F5" w:rsidP="00732045">
      <w:pPr>
        <w:keepNext/>
        <w:widowControl w:val="0"/>
        <w:tabs>
          <w:tab w:val="center" w:pos="4253"/>
        </w:tabs>
        <w:jc w:val="center"/>
        <w:rPr>
          <w:rFonts w:ascii="Helvetica" w:hAnsi="Helvetica"/>
          <w:b/>
          <w:lang w:val="es-ES_tradnl"/>
        </w:rPr>
      </w:pPr>
      <w:r>
        <w:rPr>
          <w:rFonts w:ascii="Helvetica" w:hAnsi="Helvetica"/>
          <w:b/>
          <w:lang w:val="es-ES_tradnl"/>
        </w:rPr>
        <w:t>TRIBUNAL DE CUENTAS</w:t>
      </w:r>
    </w:p>
    <w:p w:rsidR="004105F5" w:rsidRDefault="004105F5" w:rsidP="00732045">
      <w:pPr>
        <w:keepNext/>
        <w:widowControl w:val="0"/>
        <w:tabs>
          <w:tab w:val="left" w:pos="-720"/>
        </w:tabs>
        <w:jc w:val="center"/>
        <w:rPr>
          <w:rFonts w:ascii="Helvetica" w:hAnsi="Helvetica"/>
          <w:b/>
          <w:lang w:val="es-ES_tradnl"/>
        </w:rPr>
      </w:pPr>
    </w:p>
    <w:p w:rsidR="004105F5" w:rsidRDefault="004105F5" w:rsidP="00732045">
      <w:pPr>
        <w:keepNext/>
        <w:widowControl w:val="0"/>
        <w:tabs>
          <w:tab w:val="center" w:pos="4253"/>
        </w:tabs>
        <w:jc w:val="center"/>
        <w:rPr>
          <w:rFonts w:ascii="Helvetica" w:hAnsi="Helvetica"/>
          <w:b/>
          <w:lang w:val="es-ES_tradnl"/>
        </w:rPr>
      </w:pPr>
      <w:r>
        <w:rPr>
          <w:rFonts w:ascii="Helvetica" w:hAnsi="Helvetica"/>
          <w:b/>
          <w:lang w:val="es-ES_tradnl"/>
        </w:rPr>
        <w:t>EN SESION DE FECHA 28 DE AGOSTO DE 2014</w:t>
      </w:r>
    </w:p>
    <w:p w:rsidR="004105F5" w:rsidRDefault="004105F5" w:rsidP="00732045">
      <w:pPr>
        <w:keepNext/>
        <w:widowControl w:val="0"/>
        <w:tabs>
          <w:tab w:val="center" w:pos="4253"/>
        </w:tabs>
        <w:jc w:val="center"/>
        <w:rPr>
          <w:rFonts w:ascii="Helvetica" w:hAnsi="Helvetica"/>
          <w:b/>
          <w:lang w:val="es-ES_tradnl"/>
        </w:rPr>
      </w:pPr>
    </w:p>
    <w:p w:rsidR="004105F5" w:rsidRPr="00675DA6" w:rsidRDefault="004105F5" w:rsidP="00732045">
      <w:pPr>
        <w:keepNext/>
        <w:widowControl w:val="0"/>
        <w:tabs>
          <w:tab w:val="center" w:pos="4253"/>
        </w:tabs>
        <w:jc w:val="center"/>
        <w:rPr>
          <w:rFonts w:ascii="Helvetica" w:hAnsi="Helvetica"/>
          <w:b/>
          <w:lang w:val="es-UY"/>
        </w:rPr>
      </w:pPr>
      <w:r w:rsidRPr="00675DA6">
        <w:rPr>
          <w:rFonts w:ascii="Helvetica" w:hAnsi="Helvetica"/>
          <w:b/>
          <w:lang w:val="es-UY"/>
        </w:rPr>
        <w:t xml:space="preserve">(E. E. Nº 2014-17-1-0002480, </w:t>
      </w:r>
      <w:proofErr w:type="spellStart"/>
      <w:r w:rsidRPr="00675DA6">
        <w:rPr>
          <w:rFonts w:ascii="Helvetica" w:hAnsi="Helvetica"/>
          <w:b/>
          <w:lang w:val="es-UY"/>
        </w:rPr>
        <w:t>Ent</w:t>
      </w:r>
      <w:proofErr w:type="spellEnd"/>
      <w:r w:rsidRPr="00675DA6">
        <w:rPr>
          <w:rFonts w:ascii="Helvetica" w:hAnsi="Helvetica"/>
          <w:b/>
          <w:lang w:val="es-UY"/>
        </w:rPr>
        <w:t>. N° 1838/14)</w:t>
      </w:r>
    </w:p>
    <w:p w:rsidR="004105F5" w:rsidRDefault="004105F5" w:rsidP="00732045">
      <w:pPr>
        <w:keepNext/>
        <w:widowControl w:val="0"/>
        <w:tabs>
          <w:tab w:val="center" w:pos="4253"/>
        </w:tabs>
        <w:jc w:val="center"/>
        <w:rPr>
          <w:spacing w:val="-3"/>
          <w:lang w:val="es-UY"/>
        </w:rPr>
      </w:pPr>
    </w:p>
    <w:p w:rsidR="00675DA6" w:rsidRPr="00675DA6" w:rsidRDefault="00675DA6" w:rsidP="00732045">
      <w:pPr>
        <w:keepNext/>
        <w:widowControl w:val="0"/>
        <w:tabs>
          <w:tab w:val="center" w:pos="4253"/>
        </w:tabs>
        <w:jc w:val="center"/>
        <w:rPr>
          <w:spacing w:val="-3"/>
          <w:lang w:val="es-UY"/>
        </w:rPr>
      </w:pPr>
    </w:p>
    <w:p w:rsidR="004105F5" w:rsidRPr="00675DA6" w:rsidRDefault="004105F5" w:rsidP="00732045">
      <w:pPr>
        <w:keepNext/>
        <w:widowControl w:val="0"/>
        <w:rPr>
          <w:lang w:val="es-UY"/>
        </w:rPr>
      </w:pPr>
    </w:p>
    <w:p w:rsidR="004105F5" w:rsidRDefault="004105F5" w:rsidP="00732045">
      <w:pPr>
        <w:keepNext/>
        <w:widowControl w:val="0"/>
        <w:tabs>
          <w:tab w:val="left" w:pos="0"/>
          <w:tab w:val="right" w:pos="7938"/>
        </w:tabs>
        <w:spacing w:line="360" w:lineRule="auto"/>
        <w:ind w:firstLine="851"/>
        <w:jc w:val="both"/>
        <w:rPr>
          <w:spacing w:val="-1"/>
          <w:lang w:val="es-ES_tradnl"/>
        </w:rPr>
      </w:pPr>
      <w:r>
        <w:rPr>
          <w:b/>
          <w:spacing w:val="-1"/>
          <w:lang w:val="es-ES_tradnl"/>
        </w:rPr>
        <w:t>VISTO:</w:t>
      </w:r>
      <w:r>
        <w:rPr>
          <w:spacing w:val="-1"/>
          <w:lang w:val="es-ES_tradnl"/>
        </w:rPr>
        <w:t xml:space="preserve"> que este Tribunal ha examinado el Estado de Situación Patrimonial al 31/12/2013 y los correspondientes Estados de Resultados, Estado de Evolución del Patrimonio Neto, Estado de Origen y Aplicación de Fondos con sus Notas, por el Ejercicio comprendido entre el 1º de enero de 2013 y el 31 de diciembre de 2013, formulados en pesos uruguayos por el Instituto de</w:t>
      </w:r>
      <w:r>
        <w:rPr>
          <w:lang w:val="es-ES_tradnl"/>
        </w:rPr>
        <w:t xml:space="preserve"> Promoción de la Inversión y de las Exportaciones de Bienes y Servicios – Uruguay XXI;</w:t>
      </w:r>
    </w:p>
    <w:p w:rsidR="004105F5" w:rsidRDefault="004105F5" w:rsidP="00732045">
      <w:pPr>
        <w:keepNext/>
        <w:widowControl w:val="0"/>
        <w:tabs>
          <w:tab w:val="left" w:pos="2160"/>
          <w:tab w:val="right" w:pos="7938"/>
        </w:tabs>
        <w:spacing w:line="360" w:lineRule="auto"/>
        <w:ind w:firstLine="851"/>
        <w:jc w:val="both"/>
      </w:pPr>
      <w:r>
        <w:rPr>
          <w:b/>
          <w:spacing w:val="-1"/>
          <w:lang w:val="es-ES_tradnl"/>
        </w:rPr>
        <w:t xml:space="preserve">RESULTANDO: </w:t>
      </w:r>
      <w:r>
        <w:rPr>
          <w:b/>
        </w:rPr>
        <w:t>1)</w:t>
      </w:r>
      <w:r>
        <w:t xml:space="preserve"> </w:t>
      </w:r>
      <w:r>
        <w:tab/>
        <w:t>que el examen practicado fue realizado de acuerdo con los</w:t>
      </w:r>
      <w:r>
        <w:rPr>
          <w:color w:val="FF0000"/>
          <w:spacing w:val="-1"/>
          <w:lang w:val="es-ES_tradnl"/>
        </w:rPr>
        <w:t xml:space="preserve"> </w:t>
      </w:r>
      <w:r>
        <w:t>Principios Fundamentales de Auditoría (ISSAI 100 y 200) y las Directrices de Auditoría Financiera (ISSAI 1000 a 1810) de la Organización Internacional de Entidades Fiscalizadoras Superiores (INTOSAI);</w:t>
      </w:r>
    </w:p>
    <w:p w:rsidR="004105F5" w:rsidRDefault="004105F5" w:rsidP="00732045">
      <w:pPr>
        <w:keepNext/>
        <w:widowControl w:val="0"/>
        <w:tabs>
          <w:tab w:val="left" w:pos="2160"/>
          <w:tab w:val="right" w:pos="7938"/>
        </w:tabs>
        <w:spacing w:line="360" w:lineRule="auto"/>
        <w:ind w:firstLine="2694"/>
        <w:jc w:val="both"/>
        <w:rPr>
          <w:spacing w:val="-1"/>
        </w:rPr>
      </w:pPr>
      <w:r>
        <w:rPr>
          <w:b/>
          <w:spacing w:val="-1"/>
        </w:rPr>
        <w:t>2)</w:t>
      </w:r>
      <w:r>
        <w:rPr>
          <w:spacing w:val="-1"/>
        </w:rPr>
        <w:t xml:space="preserve"> que de acuerdo con lo dispuesto por el Artículo 177 del TOCAF, el Instituto de</w:t>
      </w:r>
      <w:r>
        <w:t xml:space="preserve"> Promoción de la Inversión y de las Exportaciones de Bienes y Servicios – Uruguay XXI</w:t>
      </w:r>
      <w:r>
        <w:rPr>
          <w:spacing w:val="-1"/>
        </w:rPr>
        <w:t xml:space="preserve">  debe publicar los estados que reflejen su situación financiera;</w:t>
      </w:r>
    </w:p>
    <w:p w:rsidR="004105F5" w:rsidRDefault="004105F5" w:rsidP="00732045">
      <w:pPr>
        <w:keepNext/>
        <w:widowControl w:val="0"/>
        <w:tabs>
          <w:tab w:val="left" w:pos="0"/>
          <w:tab w:val="left" w:pos="2160"/>
          <w:tab w:val="right" w:pos="7938"/>
        </w:tabs>
        <w:spacing w:line="360" w:lineRule="auto"/>
        <w:ind w:firstLine="851"/>
        <w:jc w:val="both"/>
        <w:rPr>
          <w:spacing w:val="-1"/>
          <w:lang w:val="es-ES_tradnl"/>
        </w:rPr>
      </w:pPr>
      <w:r>
        <w:rPr>
          <w:b/>
          <w:spacing w:val="-1"/>
          <w:lang w:val="es-ES_tradnl"/>
        </w:rPr>
        <w:t>CONSIDERANDO:</w:t>
      </w:r>
      <w:r>
        <w:rPr>
          <w:spacing w:val="-1"/>
          <w:lang w:val="es-ES_tradnl"/>
        </w:rPr>
        <w:t xml:space="preserve"> </w:t>
      </w:r>
      <w:r>
        <w:rPr>
          <w:spacing w:val="-1"/>
          <w:lang w:val="es-ES_tradnl"/>
        </w:rPr>
        <w:tab/>
      </w:r>
      <w:r>
        <w:rPr>
          <w:b/>
          <w:spacing w:val="-1"/>
          <w:lang w:val="es-ES_tradnl"/>
        </w:rPr>
        <w:t>1)</w:t>
      </w:r>
      <w:r>
        <w:rPr>
          <w:spacing w:val="-1"/>
          <w:lang w:val="es-ES_tradnl"/>
        </w:rPr>
        <w:t xml:space="preserve"> que las conclusiones y evidencias obtenidas son las que se expresan en el Informe de Auditoría, que incluye Dictamen e Informe a la Administración;</w:t>
      </w:r>
    </w:p>
    <w:p w:rsidR="004105F5" w:rsidRDefault="004105F5" w:rsidP="00732045">
      <w:pPr>
        <w:keepNext/>
        <w:widowControl w:val="0"/>
        <w:tabs>
          <w:tab w:val="left" w:pos="0"/>
          <w:tab w:val="left" w:pos="2160"/>
          <w:tab w:val="right" w:pos="7938"/>
        </w:tabs>
        <w:spacing w:line="360" w:lineRule="auto"/>
        <w:ind w:firstLine="2977"/>
        <w:jc w:val="both"/>
        <w:rPr>
          <w:spacing w:val="-1"/>
        </w:rPr>
      </w:pPr>
      <w:r>
        <w:rPr>
          <w:b/>
          <w:spacing w:val="-1"/>
        </w:rPr>
        <w:t>2)</w:t>
      </w:r>
      <w:r>
        <w:rPr>
          <w:spacing w:val="-1"/>
        </w:rPr>
        <w:t xml:space="preserve"> que en la publicación a que se refiere el Resultando 2) deberá incluirse el Dictamen de este Tribunal relativo a los estados financieros;</w:t>
      </w:r>
    </w:p>
    <w:p w:rsidR="004105F5" w:rsidRDefault="004105F5" w:rsidP="00732045">
      <w:pPr>
        <w:keepNext/>
        <w:widowControl w:val="0"/>
        <w:tabs>
          <w:tab w:val="left" w:pos="0"/>
          <w:tab w:val="right" w:pos="7938"/>
        </w:tabs>
        <w:spacing w:line="360" w:lineRule="auto"/>
        <w:ind w:firstLine="851"/>
        <w:jc w:val="both"/>
        <w:rPr>
          <w:spacing w:val="-1"/>
          <w:lang w:val="es-ES_tradnl"/>
        </w:rPr>
      </w:pPr>
      <w:r>
        <w:rPr>
          <w:b/>
          <w:bCs/>
          <w:spacing w:val="-1"/>
          <w:lang w:val="es-ES_tradnl"/>
        </w:rPr>
        <w:t xml:space="preserve">ATENTO: </w:t>
      </w:r>
      <w:r>
        <w:rPr>
          <w:spacing w:val="-1"/>
          <w:lang w:val="es-ES_tradnl"/>
        </w:rPr>
        <w:t>a lo establecido en los Artículos 159 y 177 del TOCAF y a la Ordenanza N° 81 de este Tribunal;</w:t>
      </w:r>
    </w:p>
    <w:p w:rsidR="004105F5" w:rsidRDefault="004105F5" w:rsidP="00732045">
      <w:pPr>
        <w:keepNext/>
        <w:widowControl w:val="0"/>
        <w:tabs>
          <w:tab w:val="left" w:pos="0"/>
          <w:tab w:val="right" w:pos="7938"/>
        </w:tabs>
        <w:spacing w:line="360" w:lineRule="auto"/>
        <w:jc w:val="center"/>
        <w:rPr>
          <w:b/>
          <w:spacing w:val="-1"/>
          <w:lang w:val="es-ES_tradnl"/>
        </w:rPr>
      </w:pPr>
      <w:r>
        <w:rPr>
          <w:b/>
          <w:spacing w:val="-1"/>
          <w:lang w:val="es-ES_tradnl"/>
        </w:rPr>
        <w:lastRenderedPageBreak/>
        <w:t>EL TRIBUNAL ACUERDA</w:t>
      </w:r>
    </w:p>
    <w:p w:rsidR="004105F5" w:rsidRDefault="004105F5" w:rsidP="00732045">
      <w:pPr>
        <w:pStyle w:val="Textoindependiente2"/>
        <w:keepNext/>
        <w:numPr>
          <w:ilvl w:val="0"/>
          <w:numId w:val="1"/>
        </w:numPr>
        <w:tabs>
          <w:tab w:val="clear" w:pos="0"/>
        </w:tabs>
        <w:suppressAutoHyphens w:val="0"/>
        <w:spacing w:after="0" w:line="360" w:lineRule="auto"/>
        <w:rPr>
          <w:spacing w:val="-1"/>
          <w:szCs w:val="24"/>
        </w:rPr>
      </w:pPr>
      <w:r>
        <w:rPr>
          <w:spacing w:val="-1"/>
          <w:szCs w:val="24"/>
        </w:rPr>
        <w:t>Expedirse en los términos del Informe de Auditoría que se adjunta;</w:t>
      </w:r>
    </w:p>
    <w:p w:rsidR="004105F5" w:rsidRDefault="004105F5" w:rsidP="00732045">
      <w:pPr>
        <w:pStyle w:val="Textoindependiente2"/>
        <w:keepNext/>
        <w:numPr>
          <w:ilvl w:val="0"/>
          <w:numId w:val="1"/>
        </w:numPr>
        <w:tabs>
          <w:tab w:val="clear" w:pos="0"/>
        </w:tabs>
        <w:suppressAutoHyphens w:val="0"/>
        <w:spacing w:after="0" w:line="360" w:lineRule="auto"/>
        <w:rPr>
          <w:spacing w:val="-1"/>
          <w:szCs w:val="24"/>
        </w:rPr>
      </w:pPr>
      <w:r>
        <w:rPr>
          <w:bCs/>
          <w:spacing w:val="-1"/>
          <w:szCs w:val="24"/>
        </w:rPr>
        <w:t>Comunicar</w:t>
      </w:r>
      <w:r>
        <w:rPr>
          <w:spacing w:val="-1"/>
          <w:szCs w:val="24"/>
        </w:rPr>
        <w:t xml:space="preserve"> esta Resolución al </w:t>
      </w:r>
      <w:r>
        <w:rPr>
          <w:spacing w:val="-1"/>
        </w:rPr>
        <w:t>Instituto de</w:t>
      </w:r>
      <w:r>
        <w:t xml:space="preserve"> Promoción de la Inversión y de las Exportaciones de Bienes y Servicios – Uruguay XXI; y</w:t>
      </w:r>
    </w:p>
    <w:p w:rsidR="004105F5" w:rsidRDefault="004105F5" w:rsidP="00732045">
      <w:pPr>
        <w:pStyle w:val="Textoindependiente2"/>
        <w:keepNext/>
        <w:numPr>
          <w:ilvl w:val="0"/>
          <w:numId w:val="1"/>
        </w:numPr>
        <w:tabs>
          <w:tab w:val="clear" w:pos="0"/>
        </w:tabs>
        <w:suppressAutoHyphens w:val="0"/>
        <w:spacing w:after="0" w:line="360" w:lineRule="auto"/>
      </w:pPr>
      <w:r>
        <w:t>Dar cuenta a la Asamblea General.</w:t>
      </w:r>
    </w:p>
    <w:p w:rsidR="004105F5" w:rsidRDefault="004105F5" w:rsidP="00732045">
      <w:pPr>
        <w:pStyle w:val="Textoindependiente2"/>
        <w:keepNext/>
        <w:tabs>
          <w:tab w:val="clear" w:pos="0"/>
        </w:tabs>
        <w:suppressAutoHyphens w:val="0"/>
        <w:spacing w:after="0" w:line="360" w:lineRule="auto"/>
      </w:pPr>
    </w:p>
    <w:p w:rsidR="00675DA6" w:rsidRDefault="00675DA6" w:rsidP="00732045">
      <w:pPr>
        <w:pStyle w:val="Textoindependiente2"/>
        <w:keepNext/>
        <w:tabs>
          <w:tab w:val="clear" w:pos="0"/>
        </w:tabs>
        <w:suppressAutoHyphens w:val="0"/>
        <w:spacing w:after="0" w:line="360" w:lineRule="auto"/>
      </w:pPr>
    </w:p>
    <w:p w:rsidR="00675DA6" w:rsidRDefault="00675DA6" w:rsidP="00732045">
      <w:pPr>
        <w:pStyle w:val="Ttulo"/>
        <w:keepNext/>
        <w:widowControl w:val="0"/>
        <w:suppressAutoHyphens w:val="0"/>
      </w:pPr>
      <w:r>
        <w:t>DICTAMEN</w:t>
      </w:r>
    </w:p>
    <w:p w:rsidR="00675DA6" w:rsidRDefault="00675DA6" w:rsidP="00732045">
      <w:pPr>
        <w:keepNext/>
        <w:widowControl w:val="0"/>
        <w:tabs>
          <w:tab w:val="left" w:pos="0"/>
        </w:tabs>
        <w:spacing w:line="360" w:lineRule="auto"/>
        <w:jc w:val="both"/>
      </w:pPr>
    </w:p>
    <w:p w:rsidR="00675DA6" w:rsidRDefault="00675DA6" w:rsidP="00732045">
      <w:pPr>
        <w:pStyle w:val="Textoindependiente2"/>
        <w:keepNext/>
        <w:suppressAutoHyphens w:val="0"/>
        <w:spacing w:after="0" w:line="360" w:lineRule="auto"/>
        <w:ind w:firstLine="851"/>
        <w:rPr>
          <w:szCs w:val="24"/>
          <w:lang w:val="es-ES" w:eastAsia="es-ES"/>
        </w:rPr>
      </w:pPr>
      <w:r>
        <w:rPr>
          <w:szCs w:val="24"/>
          <w:lang w:val="es-ES" w:eastAsia="es-ES"/>
        </w:rPr>
        <w:t>El Tribunal de Cuentas ha examinado los estados financieros del Instituto de Promoción de la Inversión y de las Exportaciones de Bienes y Servicios – Uruguay XXI que comprenden el Estado de Situación Patrimonial al 31 de diciembre de 2013, el Estado de Resultados, el Estado de Evolución del Patrimonio Neto, el Estado de Origen y Aplicación de Fondos por el Ejercicio finalizado el 31 de diciembre de 2013 y las Notas que los acompañan.</w:t>
      </w:r>
    </w:p>
    <w:p w:rsidR="00675DA6" w:rsidRDefault="00675DA6" w:rsidP="00732045">
      <w:pPr>
        <w:pStyle w:val="Textoindependiente2"/>
        <w:keepNext/>
        <w:suppressAutoHyphens w:val="0"/>
        <w:spacing w:after="0" w:line="360" w:lineRule="auto"/>
        <w:ind w:firstLine="851"/>
        <w:rPr>
          <w:szCs w:val="24"/>
          <w:lang w:val="es-ES" w:eastAsia="es-ES"/>
        </w:rPr>
      </w:pPr>
      <w:r>
        <w:rPr>
          <w:szCs w:val="24"/>
          <w:lang w:val="es-ES" w:eastAsia="es-ES"/>
        </w:rPr>
        <w:t>El Tribunal de Cuentas también ha examinado el cumplimiento de las disposiciones legales vigentes relacionadas con los estados financieros objeto de examen.</w:t>
      </w:r>
    </w:p>
    <w:p w:rsidR="00675DA6" w:rsidRDefault="00675DA6" w:rsidP="00732045">
      <w:pPr>
        <w:pStyle w:val="Textoindependiente2"/>
        <w:keepNext/>
        <w:suppressAutoHyphens w:val="0"/>
        <w:spacing w:after="0" w:line="360" w:lineRule="auto"/>
        <w:ind w:firstLine="851"/>
        <w:rPr>
          <w:szCs w:val="24"/>
          <w:lang w:val="es-ES" w:eastAsia="es-ES"/>
        </w:rPr>
      </w:pPr>
    </w:p>
    <w:p w:rsidR="00675DA6" w:rsidRDefault="00675DA6" w:rsidP="00732045">
      <w:pPr>
        <w:keepNext/>
        <w:widowControl w:val="0"/>
        <w:tabs>
          <w:tab w:val="left" w:pos="0"/>
        </w:tabs>
        <w:spacing w:line="360" w:lineRule="auto"/>
        <w:jc w:val="both"/>
        <w:rPr>
          <w:spacing w:val="-1"/>
          <w:lang w:val="es-ES_tradnl"/>
        </w:rPr>
      </w:pPr>
      <w:r>
        <w:rPr>
          <w:b/>
          <w:spacing w:val="-1"/>
          <w:lang w:val="es-ES_tradnl"/>
        </w:rPr>
        <w:t>Responsabilidad de la Dirección por los estados financieros</w:t>
      </w:r>
    </w:p>
    <w:p w:rsidR="00675DA6" w:rsidRDefault="00675DA6" w:rsidP="00732045">
      <w:pPr>
        <w:keepNext/>
        <w:widowControl w:val="0"/>
        <w:tabs>
          <w:tab w:val="left" w:pos="0"/>
        </w:tabs>
        <w:spacing w:line="360" w:lineRule="auto"/>
        <w:ind w:firstLine="851"/>
        <w:jc w:val="both"/>
        <w:rPr>
          <w:spacing w:val="-1"/>
          <w:lang w:val="es-ES_tradnl"/>
        </w:rPr>
      </w:pPr>
      <w:r>
        <w:rPr>
          <w:spacing w:val="-1"/>
          <w:lang w:val="es-ES_tradnl"/>
        </w:rPr>
        <w:t>El Consejo de Dirección de Uruguay XXI es responsable por la preparación y la razonable presentación de estos estados financieros de acuerdo con los criterios establecidos en la Ordenanza Nº 81 y normas legales vigentes</w:t>
      </w:r>
      <w:r>
        <w:rPr>
          <w:i/>
          <w:spacing w:val="-1"/>
          <w:lang w:val="es-ES_tradnl"/>
        </w:rPr>
        <w:t xml:space="preserve">. </w:t>
      </w:r>
      <w:r>
        <w:rPr>
          <w:spacing w:val="-1"/>
          <w:lang w:val="es-ES_tradnl"/>
        </w:rP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675DA6" w:rsidRDefault="00675DA6" w:rsidP="00732045">
      <w:pPr>
        <w:keepNext/>
        <w:widowControl w:val="0"/>
        <w:tabs>
          <w:tab w:val="left" w:pos="0"/>
        </w:tabs>
        <w:spacing w:line="360" w:lineRule="auto"/>
        <w:ind w:firstLine="851"/>
        <w:jc w:val="both"/>
        <w:rPr>
          <w:spacing w:val="-1"/>
          <w:lang w:val="es-ES_tradnl"/>
        </w:rPr>
      </w:pPr>
    </w:p>
    <w:p w:rsidR="00675DA6" w:rsidRDefault="00675DA6" w:rsidP="00732045">
      <w:pPr>
        <w:keepNext/>
        <w:widowControl w:val="0"/>
        <w:tabs>
          <w:tab w:val="left" w:pos="0"/>
        </w:tabs>
        <w:spacing w:line="360" w:lineRule="auto"/>
        <w:ind w:firstLine="851"/>
        <w:jc w:val="both"/>
        <w:rPr>
          <w:spacing w:val="-1"/>
          <w:lang w:val="es-ES_tradnl"/>
        </w:rPr>
      </w:pPr>
    </w:p>
    <w:p w:rsidR="00675DA6" w:rsidRDefault="00675DA6" w:rsidP="00732045">
      <w:pPr>
        <w:pStyle w:val="Textoindependiente"/>
        <w:keepNext/>
        <w:widowControl w:val="0"/>
        <w:tabs>
          <w:tab w:val="left" w:pos="0"/>
        </w:tabs>
        <w:suppressAutoHyphens w:val="0"/>
        <w:spacing w:after="0"/>
        <w:jc w:val="both"/>
        <w:rPr>
          <w:rFonts w:ascii="Arial" w:hAnsi="Arial"/>
          <w:b/>
          <w:spacing w:val="-1"/>
        </w:rPr>
      </w:pPr>
      <w:r>
        <w:rPr>
          <w:rFonts w:ascii="Arial" w:hAnsi="Arial"/>
          <w:b/>
          <w:spacing w:val="-1"/>
        </w:rPr>
        <w:t>Responsabilidad del Auditor</w:t>
      </w:r>
    </w:p>
    <w:p w:rsidR="00675DA6" w:rsidRDefault="00675DA6" w:rsidP="00732045">
      <w:pPr>
        <w:pStyle w:val="Textoindependiente"/>
        <w:keepNext/>
        <w:widowControl w:val="0"/>
        <w:suppressAutoHyphens w:val="0"/>
        <w:spacing w:after="0" w:line="360" w:lineRule="auto"/>
        <w:ind w:firstLine="851"/>
        <w:jc w:val="both"/>
        <w:rPr>
          <w:rFonts w:ascii="Arial" w:hAnsi="Arial"/>
          <w:spacing w:val="-1"/>
          <w:lang w:val="es-ES_tradnl"/>
        </w:rPr>
      </w:pPr>
      <w:r>
        <w:rPr>
          <w:rFonts w:ascii="Arial" w:hAnsi="Arial"/>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los estados financieros están libres de errores significativos.</w:t>
      </w:r>
    </w:p>
    <w:p w:rsidR="00675DA6" w:rsidRDefault="00675DA6" w:rsidP="00732045">
      <w:pPr>
        <w:pStyle w:val="Textoindependiente"/>
        <w:keepNext/>
        <w:widowControl w:val="0"/>
        <w:suppressAutoHyphens w:val="0"/>
        <w:spacing w:after="0" w:line="360" w:lineRule="auto"/>
        <w:ind w:firstLine="851"/>
        <w:jc w:val="both"/>
        <w:rPr>
          <w:rFonts w:ascii="Arial" w:hAnsi="Arial"/>
          <w:spacing w:val="-1"/>
          <w:lang w:val="es-ES_tradnl"/>
        </w:rPr>
      </w:pPr>
      <w:r>
        <w:rPr>
          <w:rFonts w:ascii="Arial" w:hAnsi="Arial"/>
          <w:spacing w:val="-1"/>
          <w:lang w:val="es-ES_tradnl"/>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675DA6" w:rsidRDefault="00675DA6" w:rsidP="00732045">
      <w:pPr>
        <w:pStyle w:val="Textoindependiente"/>
        <w:keepNext/>
        <w:widowControl w:val="0"/>
        <w:suppressAutoHyphens w:val="0"/>
        <w:spacing w:after="0" w:line="360" w:lineRule="auto"/>
        <w:ind w:firstLine="851"/>
        <w:jc w:val="both"/>
        <w:rPr>
          <w:rFonts w:ascii="Arial" w:hAnsi="Arial"/>
          <w:spacing w:val="-1"/>
          <w:lang w:val="es-ES_tradnl"/>
        </w:rPr>
      </w:pPr>
      <w:r>
        <w:rPr>
          <w:rFonts w:ascii="Arial" w:hAnsi="Arial"/>
          <w:spacing w:val="-1"/>
          <w:lang w:val="es-ES_tradnl"/>
        </w:rPr>
        <w:t>Se considera que la evidencia de auditoría obtenida brinda una base suficiente y apropiada para sustentar la opinión.</w:t>
      </w:r>
    </w:p>
    <w:p w:rsidR="00675DA6" w:rsidRDefault="00675DA6" w:rsidP="00732045">
      <w:pPr>
        <w:pStyle w:val="Textoindependiente"/>
        <w:keepNext/>
        <w:widowControl w:val="0"/>
        <w:suppressAutoHyphens w:val="0"/>
        <w:spacing w:after="0" w:line="360" w:lineRule="auto"/>
        <w:ind w:firstLine="851"/>
        <w:jc w:val="both"/>
        <w:rPr>
          <w:rFonts w:ascii="Arial" w:hAnsi="Arial"/>
          <w:spacing w:val="-1"/>
          <w:lang w:val="es-ES_tradnl"/>
        </w:rPr>
      </w:pPr>
    </w:p>
    <w:p w:rsidR="00675DA6" w:rsidRDefault="00675DA6" w:rsidP="00732045">
      <w:pPr>
        <w:pStyle w:val="Ttulo1"/>
        <w:widowControl w:val="0"/>
        <w:tabs>
          <w:tab w:val="left" w:pos="0"/>
        </w:tabs>
        <w:spacing w:line="360" w:lineRule="auto"/>
        <w:rPr>
          <w:bCs w:val="0"/>
          <w:spacing w:val="-1"/>
        </w:rPr>
      </w:pPr>
      <w:r>
        <w:rPr>
          <w:bCs w:val="0"/>
          <w:spacing w:val="-1"/>
        </w:rPr>
        <w:t>Opinión</w:t>
      </w:r>
    </w:p>
    <w:p w:rsidR="00675DA6" w:rsidRDefault="00675DA6" w:rsidP="00732045">
      <w:pPr>
        <w:keepNext/>
        <w:widowControl w:val="0"/>
        <w:spacing w:line="360" w:lineRule="auto"/>
        <w:jc w:val="both"/>
        <w:rPr>
          <w:iCs/>
        </w:rPr>
      </w:pPr>
      <w:r>
        <w:tab/>
        <w:t>En opinión del Tribunal de Cuentas, los estados financieros referidos precedentemente presentan razonablemente, en todos sus aspectos importantes, la situación patrimonial del Instituto de Promoción de la Inversión y de las Exportaciones de Bienes y Servicios - Uruguay XXI</w:t>
      </w:r>
      <w:r>
        <w:rPr>
          <w:i/>
        </w:rPr>
        <w:t xml:space="preserve"> </w:t>
      </w:r>
      <w:r>
        <w:t>al 31 de diciembre de 2013, los resultados de sus operaciones y los flujos de efectivo correspondientes al ejercicio anual terminado en esa fecha, de acuerdo con la Ordenanza Nº 81 del Tribunal de Cuentas</w:t>
      </w:r>
      <w:r>
        <w:rPr>
          <w:i/>
        </w:rPr>
        <w:t xml:space="preserve"> </w:t>
      </w:r>
      <w:r>
        <w:rPr>
          <w:iCs/>
        </w:rPr>
        <w:t>y la normativa vigente.</w:t>
      </w:r>
    </w:p>
    <w:p w:rsidR="00675DA6" w:rsidRDefault="00675DA6" w:rsidP="00732045">
      <w:pPr>
        <w:keepNext/>
        <w:widowControl w:val="0"/>
        <w:spacing w:line="360" w:lineRule="auto"/>
        <w:ind w:firstLine="708"/>
        <w:jc w:val="both"/>
        <w:rPr>
          <w:iCs/>
        </w:rPr>
      </w:pPr>
      <w:r>
        <w:rPr>
          <w:iCs/>
        </w:rPr>
        <w:t>Con respecto a las disposiciones legales y reglamentarias vigentes relacionadas con los estados financieros que fueron objeto de examen en el transcurso de la auditoría, se expresa que no se han constatado incumplimientos.</w:t>
      </w:r>
    </w:p>
    <w:p w:rsidR="00675DA6" w:rsidRDefault="00675DA6" w:rsidP="00732045">
      <w:pPr>
        <w:keepNext/>
        <w:widowControl w:val="0"/>
        <w:spacing w:after="260" w:line="360" w:lineRule="auto"/>
        <w:jc w:val="right"/>
        <w:rPr>
          <w:rFonts w:cs="Arial"/>
        </w:rPr>
      </w:pPr>
      <w:r>
        <w:rPr>
          <w:rFonts w:cs="Arial"/>
        </w:rPr>
        <w:t>Montevideo, 30 de julio de 2014</w:t>
      </w:r>
    </w:p>
    <w:p w:rsidR="00732045" w:rsidRDefault="00732045" w:rsidP="00732045">
      <w:pPr>
        <w:keepNext/>
        <w:widowControl w:val="0"/>
        <w:spacing w:after="260" w:line="360" w:lineRule="auto"/>
        <w:jc w:val="right"/>
        <w:rPr>
          <w:rFonts w:cs="Arial"/>
        </w:rPr>
      </w:pPr>
    </w:p>
    <w:p w:rsidR="00675DA6" w:rsidRDefault="00675DA6" w:rsidP="00732045">
      <w:pPr>
        <w:pStyle w:val="Ttulo"/>
        <w:keepNext/>
        <w:widowControl w:val="0"/>
        <w:suppressAutoHyphens w:val="0"/>
      </w:pPr>
      <w:r>
        <w:t>INFORME A LA ADMINISTRACIÓN</w:t>
      </w:r>
    </w:p>
    <w:p w:rsidR="00675DA6" w:rsidRDefault="00675DA6" w:rsidP="00732045">
      <w:pPr>
        <w:pStyle w:val="Textoindependiente3"/>
        <w:keepNext/>
        <w:suppressAutoHyphens w:val="0"/>
        <w:ind w:right="0"/>
        <w:rPr>
          <w:spacing w:val="-1"/>
        </w:rPr>
      </w:pPr>
    </w:p>
    <w:p w:rsidR="00675DA6" w:rsidRDefault="00675DA6" w:rsidP="00732045">
      <w:pPr>
        <w:pStyle w:val="Textoindependiente3"/>
        <w:keepNext/>
        <w:suppressAutoHyphens w:val="0"/>
        <w:spacing w:line="360" w:lineRule="auto"/>
        <w:ind w:right="0" w:firstLine="851"/>
        <w:rPr>
          <w:spacing w:val="-1"/>
          <w:szCs w:val="24"/>
        </w:rPr>
      </w:pPr>
      <w:r>
        <w:rPr>
          <w:spacing w:val="-1"/>
        </w:rPr>
        <w:t xml:space="preserve">El Tribunal de Cuentas ha examinado los estados financieros del </w:t>
      </w:r>
      <w:r>
        <w:t>Instituto de Promoción de la Inversión y de las Exportaciones de Bienes y Servicios – Uruguay XXI</w:t>
      </w:r>
      <w:r>
        <w:rPr>
          <w:spacing w:val="-1"/>
        </w:rPr>
        <w:t xml:space="preserve"> co</w:t>
      </w:r>
      <w:r>
        <w:rPr>
          <w:spacing w:val="-1"/>
          <w:szCs w:val="24"/>
        </w:rPr>
        <w:t xml:space="preserve">rrespondientes al Ejercicio finalizado </w:t>
      </w:r>
      <w:r>
        <w:t>el 31 de diciembre de 2013</w:t>
      </w:r>
      <w:r>
        <w:rPr>
          <w:spacing w:val="-1"/>
          <w:szCs w:val="24"/>
        </w:rPr>
        <w:t xml:space="preserve"> y ha emiti</w:t>
      </w:r>
      <w:r w:rsidR="002D4750">
        <w:rPr>
          <w:spacing w:val="-1"/>
          <w:szCs w:val="24"/>
        </w:rPr>
        <w:t>do su correspondiente Dictamen.</w:t>
      </w:r>
    </w:p>
    <w:p w:rsidR="00675DA6" w:rsidRPr="002D4750" w:rsidRDefault="00675DA6" w:rsidP="00732045">
      <w:pPr>
        <w:keepNext/>
        <w:widowControl w:val="0"/>
        <w:tabs>
          <w:tab w:val="left" w:pos="0"/>
        </w:tabs>
        <w:spacing w:line="360" w:lineRule="auto"/>
        <w:ind w:firstLine="851"/>
        <w:jc w:val="both"/>
        <w:rPr>
          <w:rFonts w:cs="Arial"/>
          <w:spacing w:val="-1"/>
        </w:rPr>
      </w:pPr>
      <w:r>
        <w:rPr>
          <w:rFonts w:cs="Arial"/>
          <w:spacing w:val="-1"/>
        </w:rPr>
        <w:t>Como consecuencia del examen practicado, se incluyen en este Informe comentarios que se ha entendido conveniente exponer, relacionados con la situación de determinados capítulos y rubros de los estados financieros examinados, así como también aspectos específicos relativos a la evaluación del sistema de control interno y el cumplimiento de normas legales aplicables.</w:t>
      </w:r>
    </w:p>
    <w:p w:rsidR="00675DA6" w:rsidRDefault="00675DA6" w:rsidP="00732045">
      <w:pPr>
        <w:keepNext/>
        <w:widowControl w:val="0"/>
        <w:tabs>
          <w:tab w:val="left" w:pos="0"/>
        </w:tabs>
        <w:spacing w:line="360" w:lineRule="auto"/>
        <w:jc w:val="both"/>
        <w:rPr>
          <w:b/>
          <w:spacing w:val="-1"/>
          <w:lang w:val="es-ES_tradnl"/>
        </w:rPr>
      </w:pPr>
    </w:p>
    <w:p w:rsidR="00675DA6" w:rsidRDefault="00675DA6" w:rsidP="00732045">
      <w:pPr>
        <w:keepNext/>
        <w:widowControl w:val="0"/>
        <w:tabs>
          <w:tab w:val="left" w:pos="0"/>
        </w:tabs>
        <w:spacing w:line="360" w:lineRule="auto"/>
        <w:jc w:val="both"/>
        <w:rPr>
          <w:spacing w:val="-1"/>
          <w:lang w:val="es-ES_tradnl"/>
        </w:rPr>
      </w:pPr>
      <w:r>
        <w:rPr>
          <w:b/>
          <w:spacing w:val="-1"/>
          <w:lang w:val="es-ES_tradnl"/>
        </w:rPr>
        <w:t>Presentación de estados financieros</w:t>
      </w:r>
    </w:p>
    <w:p w:rsidR="00675DA6" w:rsidRDefault="00675DA6" w:rsidP="00732045">
      <w:pPr>
        <w:pStyle w:val="Sangradetextonormal"/>
        <w:keepNext/>
        <w:widowControl w:val="0"/>
        <w:suppressAutoHyphens w:val="0"/>
        <w:spacing w:line="360" w:lineRule="auto"/>
        <w:ind w:firstLine="851"/>
        <w:rPr>
          <w:lang w:val="es-ES_tradnl"/>
        </w:rPr>
      </w:pPr>
      <w:r>
        <w:rPr>
          <w:lang w:val="es-ES_tradnl"/>
        </w:rPr>
        <w:t>Los estados financieros correspondientes al Ejercicio finalizado el 31 de diciembre de 2013 fueron</w:t>
      </w:r>
      <w:r>
        <w:rPr>
          <w:lang w:val="es-ES_tradnl"/>
        </w:rPr>
        <w:tab/>
        <w:t xml:space="preserve">remitidos al Tribunal de Cuentas el 27 de marzo de 2014, dentro del plazo establecido en la Ordenanza Nº 81. A la fecha de presentación al Tribunal, los mismos sólo contaban con la aprobación del Director Ejecutivo, mediante Resolución de fecha 26 de marzo de 2014. Con fecha 4 de abril de 2014 fueron aprobados </w:t>
      </w:r>
      <w:r>
        <w:rPr>
          <w:rFonts w:cs="Arial"/>
          <w:lang w:val="es-ES_tradnl"/>
        </w:rPr>
        <w:t>por el Consejo de Dirección de Uruguay XXI</w:t>
      </w:r>
      <w:r>
        <w:rPr>
          <w:lang w:val="es-ES_tradnl"/>
        </w:rPr>
        <w:t xml:space="preserve"> por Acta Nº 52.</w:t>
      </w:r>
    </w:p>
    <w:p w:rsidR="00675DA6" w:rsidRDefault="00675DA6" w:rsidP="00732045">
      <w:pPr>
        <w:pStyle w:val="Sangradetextonormal"/>
        <w:keepNext/>
        <w:widowControl w:val="0"/>
        <w:suppressAutoHyphens w:val="0"/>
        <w:spacing w:line="360" w:lineRule="auto"/>
        <w:ind w:firstLine="851"/>
        <w:rPr>
          <w:lang w:val="es-ES_tradnl"/>
        </w:rPr>
      </w:pPr>
      <w:r>
        <w:rPr>
          <w:lang w:val="es-ES_tradnl"/>
        </w:rPr>
        <w:t>Con respecto a los ingresos estatales en el Ejercicio 2013 se cobró el 100% del total presupuestado, por lo que en este caso coincide la aplicación del criterio de lo percibido con lo devengado para el registro contable.  No obstante, en la Nota 2.9 a los estados contables se expresa que el criterio utilizado para el reconocimiento de los ingresos es el de lo devengado.</w:t>
      </w:r>
    </w:p>
    <w:p w:rsidR="00675DA6" w:rsidRDefault="00675DA6" w:rsidP="00732045">
      <w:pPr>
        <w:keepNext/>
        <w:widowControl w:val="0"/>
        <w:tabs>
          <w:tab w:val="left" w:pos="0"/>
        </w:tabs>
        <w:spacing w:line="360" w:lineRule="auto"/>
        <w:jc w:val="both"/>
        <w:rPr>
          <w:rFonts w:cs="Arial"/>
          <w:b/>
          <w:bCs/>
          <w:spacing w:val="-1"/>
          <w:lang w:val="es-ES_tradnl"/>
        </w:rPr>
      </w:pPr>
    </w:p>
    <w:p w:rsidR="00675DA6" w:rsidRDefault="00675DA6" w:rsidP="00732045">
      <w:pPr>
        <w:keepNext/>
        <w:widowControl w:val="0"/>
        <w:tabs>
          <w:tab w:val="left" w:pos="0"/>
        </w:tabs>
        <w:spacing w:line="360" w:lineRule="auto"/>
        <w:jc w:val="both"/>
        <w:rPr>
          <w:rFonts w:cs="Arial"/>
          <w:b/>
          <w:bCs/>
          <w:spacing w:val="-1"/>
          <w:lang w:val="es-ES_tradnl"/>
        </w:rPr>
      </w:pPr>
      <w:r>
        <w:rPr>
          <w:rFonts w:cs="Arial"/>
          <w:b/>
          <w:bCs/>
          <w:spacing w:val="-1"/>
          <w:lang w:val="es-ES_tradnl"/>
        </w:rPr>
        <w:t>Evaluación del sistema de control interno</w:t>
      </w:r>
    </w:p>
    <w:p w:rsidR="00675DA6" w:rsidRDefault="00675DA6" w:rsidP="00732045">
      <w:pPr>
        <w:pStyle w:val="Sangradetextonormal"/>
        <w:keepNext/>
        <w:widowControl w:val="0"/>
        <w:tabs>
          <w:tab w:val="num" w:pos="1068"/>
        </w:tabs>
        <w:suppressAutoHyphens w:val="0"/>
        <w:spacing w:line="360" w:lineRule="auto"/>
        <w:ind w:firstLine="851"/>
        <w:rPr>
          <w:rFonts w:cs="Arial"/>
          <w:lang w:val="es-MX"/>
        </w:rPr>
      </w:pPr>
      <w:r>
        <w:rPr>
          <w:lang w:val="es-ES_tradnl"/>
        </w:rPr>
        <w:t xml:space="preserve">Se ha evaluado el sistema de control interno diseñado e implementado por el Instituto de Promoción de la Inversión y de las Exportaciones de Bienes y Servicios – Uruguay XXI. El propósito de dicha evaluación fue determinar la confiabilidad de la información contable y el cumplimiento de las disposiciones legales, a efectos de determinar los procedimientos de auditoría a aplicar. Del examen practicado se pudo determinar que el sistema de control interno se </w:t>
      </w:r>
      <w:r>
        <w:rPr>
          <w:rFonts w:cs="Arial"/>
        </w:rPr>
        <w:t>considera adecuado.</w:t>
      </w:r>
    </w:p>
    <w:p w:rsidR="00675DA6" w:rsidRDefault="00675DA6" w:rsidP="00732045">
      <w:pPr>
        <w:keepNext/>
        <w:widowControl w:val="0"/>
        <w:tabs>
          <w:tab w:val="left" w:pos="0"/>
          <w:tab w:val="left" w:pos="720"/>
        </w:tabs>
        <w:spacing w:line="360" w:lineRule="auto"/>
        <w:jc w:val="both"/>
        <w:rPr>
          <w:b/>
          <w:spacing w:val="-1"/>
          <w:lang w:val="es-MX"/>
        </w:rPr>
      </w:pPr>
    </w:p>
    <w:p w:rsidR="00675DA6" w:rsidRDefault="002D4750" w:rsidP="00732045">
      <w:pPr>
        <w:keepNext/>
        <w:widowControl w:val="0"/>
        <w:tabs>
          <w:tab w:val="left" w:pos="0"/>
          <w:tab w:val="left" w:pos="720"/>
        </w:tabs>
        <w:spacing w:line="360" w:lineRule="auto"/>
        <w:jc w:val="both"/>
        <w:rPr>
          <w:b/>
          <w:spacing w:val="-1"/>
          <w:lang w:val="es-MX"/>
        </w:rPr>
      </w:pPr>
      <w:r>
        <w:rPr>
          <w:b/>
          <w:spacing w:val="-1"/>
          <w:lang w:val="es-MX"/>
        </w:rPr>
        <w:t>Recomendaciones</w:t>
      </w:r>
    </w:p>
    <w:p w:rsidR="00675DA6" w:rsidRDefault="00675DA6" w:rsidP="00732045">
      <w:pPr>
        <w:pStyle w:val="Ttulo2"/>
        <w:widowControl w:val="0"/>
        <w:ind w:left="0"/>
      </w:pPr>
      <w:r>
        <w:t>Recomendaciones del Ejercicio</w:t>
      </w:r>
    </w:p>
    <w:p w:rsidR="00675DA6" w:rsidRDefault="00675DA6" w:rsidP="00732045">
      <w:pPr>
        <w:pStyle w:val="Textoindependiente2"/>
        <w:keepNext/>
        <w:suppressAutoHyphens w:val="0"/>
        <w:spacing w:after="0" w:line="360" w:lineRule="auto"/>
        <w:ind w:firstLine="851"/>
        <w:rPr>
          <w:rFonts w:cs="Arial"/>
          <w:bCs/>
          <w:szCs w:val="24"/>
          <w:lang w:val="es-ES" w:eastAsia="es-ES"/>
        </w:rPr>
      </w:pPr>
      <w:r>
        <w:rPr>
          <w:bCs/>
          <w:szCs w:val="24"/>
          <w:lang w:val="es-ES" w:eastAsia="es-ES"/>
        </w:rPr>
        <w:t>Los ingresos del Ejercicio deberán registrarse cuando sean percibidos según lo establece el Artículo 24 de la Ordenanza Nº 81.</w:t>
      </w:r>
    </w:p>
    <w:p w:rsidR="00675DA6" w:rsidRDefault="00675DA6" w:rsidP="00732045">
      <w:pPr>
        <w:keepNext/>
        <w:widowControl w:val="0"/>
        <w:tabs>
          <w:tab w:val="left" w:pos="0"/>
          <w:tab w:val="right" w:pos="7938"/>
        </w:tabs>
        <w:spacing w:line="360" w:lineRule="auto"/>
        <w:ind w:left="360"/>
        <w:jc w:val="right"/>
        <w:rPr>
          <w:rFonts w:cs="Arial"/>
        </w:rPr>
      </w:pPr>
      <w:r>
        <w:rPr>
          <w:rFonts w:cs="Arial"/>
        </w:rPr>
        <w:t>Montevideo, 30 de julio de 2014</w:t>
      </w:r>
    </w:p>
    <w:p w:rsidR="00675DA6" w:rsidRDefault="00675DA6" w:rsidP="00732045">
      <w:pPr>
        <w:keepNext/>
        <w:widowControl w:val="0"/>
        <w:tabs>
          <w:tab w:val="left" w:pos="0"/>
          <w:tab w:val="right" w:pos="7938"/>
        </w:tabs>
        <w:spacing w:line="360" w:lineRule="auto"/>
        <w:ind w:left="360"/>
        <w:jc w:val="right"/>
        <w:rPr>
          <w:rFonts w:cs="Arial"/>
        </w:rPr>
      </w:pPr>
    </w:p>
    <w:p w:rsidR="00675DA6" w:rsidRPr="00675DA6" w:rsidRDefault="00675DA6" w:rsidP="00732045">
      <w:pPr>
        <w:keepNext/>
        <w:widowControl w:val="0"/>
        <w:tabs>
          <w:tab w:val="left" w:pos="0"/>
          <w:tab w:val="right" w:pos="7938"/>
        </w:tabs>
        <w:spacing w:line="360" w:lineRule="auto"/>
        <w:ind w:left="360" w:hanging="786"/>
        <w:rPr>
          <w:sz w:val="20"/>
        </w:rPr>
      </w:pPr>
      <w:proofErr w:type="gramStart"/>
      <w:r>
        <w:rPr>
          <w:rFonts w:cs="Arial"/>
        </w:rPr>
        <w:t>dc</w:t>
      </w:r>
      <w:proofErr w:type="gramEnd"/>
    </w:p>
    <w:sectPr w:rsidR="00675DA6" w:rsidRPr="00675DA6" w:rsidSect="004105F5">
      <w:pgSz w:w="11906" w:h="16838" w:code="9"/>
      <w:pgMar w:top="311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F54FD9"/>
    <w:multiLevelType w:val="hybridMultilevel"/>
    <w:tmpl w:val="23B40C20"/>
    <w:lvl w:ilvl="0" w:tplc="41E675D0">
      <w:start w:val="1"/>
      <w:numFmt w:val="decimal"/>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5F5"/>
    <w:rsid w:val="002D4750"/>
    <w:rsid w:val="004105F5"/>
    <w:rsid w:val="00635A63"/>
    <w:rsid w:val="00675DA6"/>
    <w:rsid w:val="00732045"/>
    <w:rsid w:val="00776965"/>
    <w:rsid w:val="00A51A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5F5"/>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675DA6"/>
    <w:pPr>
      <w:keepNext/>
      <w:jc w:val="both"/>
      <w:outlineLvl w:val="0"/>
    </w:pPr>
    <w:rPr>
      <w:b/>
      <w:bCs/>
      <w:lang w:val="es-ES_tradnl"/>
    </w:rPr>
  </w:style>
  <w:style w:type="paragraph" w:styleId="Ttulo2">
    <w:name w:val="heading 2"/>
    <w:basedOn w:val="Normal"/>
    <w:next w:val="Normal"/>
    <w:link w:val="Ttulo2Car"/>
    <w:qFormat/>
    <w:rsid w:val="00675DA6"/>
    <w:pPr>
      <w:keepNext/>
      <w:tabs>
        <w:tab w:val="left" w:pos="0"/>
      </w:tabs>
      <w:spacing w:line="360" w:lineRule="auto"/>
      <w:ind w:left="360"/>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rsid w:val="004105F5"/>
    <w:pPr>
      <w:widowControl w:val="0"/>
      <w:tabs>
        <w:tab w:val="left" w:pos="0"/>
      </w:tabs>
      <w:suppressAutoHyphens/>
      <w:spacing w:after="426"/>
      <w:jc w:val="both"/>
    </w:pPr>
    <w:rPr>
      <w:szCs w:val="20"/>
      <w:lang w:val="es-ES_tradnl" w:eastAsia="ar-SA"/>
    </w:rPr>
  </w:style>
  <w:style w:type="character" w:customStyle="1" w:styleId="Textoindependiente2Car">
    <w:name w:val="Texto independiente 2 Car"/>
    <w:basedOn w:val="Fuentedeprrafopredeter"/>
    <w:link w:val="Textoindependiente2"/>
    <w:semiHidden/>
    <w:rsid w:val="004105F5"/>
    <w:rPr>
      <w:rFonts w:ascii="Arial" w:eastAsia="Times New Roman" w:hAnsi="Arial" w:cs="Times New Roman"/>
      <w:sz w:val="24"/>
      <w:szCs w:val="20"/>
      <w:lang w:val="es-ES_tradnl" w:eastAsia="ar-SA"/>
    </w:rPr>
  </w:style>
  <w:style w:type="character" w:customStyle="1" w:styleId="Ttulo1Car">
    <w:name w:val="Título 1 Car"/>
    <w:basedOn w:val="Fuentedeprrafopredeter"/>
    <w:link w:val="Ttulo1"/>
    <w:rsid w:val="00675DA6"/>
    <w:rPr>
      <w:rFonts w:ascii="Arial" w:eastAsia="Times New Roman" w:hAnsi="Arial" w:cs="Times New Roman"/>
      <w:b/>
      <w:bCs/>
      <w:sz w:val="24"/>
      <w:szCs w:val="24"/>
      <w:lang w:val="es-ES_tradnl" w:eastAsia="es-ES"/>
    </w:rPr>
  </w:style>
  <w:style w:type="paragraph" w:styleId="Ttulo">
    <w:name w:val="Title"/>
    <w:basedOn w:val="Normal"/>
    <w:link w:val="TtuloCar"/>
    <w:qFormat/>
    <w:rsid w:val="00675DA6"/>
    <w:pPr>
      <w:tabs>
        <w:tab w:val="left" w:pos="0"/>
      </w:tabs>
      <w:suppressAutoHyphens/>
      <w:jc w:val="center"/>
    </w:pPr>
    <w:rPr>
      <w:b/>
      <w:spacing w:val="-1"/>
      <w:lang w:val="es-ES_tradnl" w:eastAsia="ar-SA"/>
    </w:rPr>
  </w:style>
  <w:style w:type="character" w:customStyle="1" w:styleId="TtuloCar">
    <w:name w:val="Título Car"/>
    <w:basedOn w:val="Fuentedeprrafopredeter"/>
    <w:link w:val="Ttulo"/>
    <w:rsid w:val="00675DA6"/>
    <w:rPr>
      <w:rFonts w:ascii="Arial" w:eastAsia="Times New Roman" w:hAnsi="Arial" w:cs="Times New Roman"/>
      <w:b/>
      <w:spacing w:val="-1"/>
      <w:sz w:val="24"/>
      <w:szCs w:val="24"/>
      <w:lang w:val="es-ES_tradnl" w:eastAsia="ar-SA"/>
    </w:rPr>
  </w:style>
  <w:style w:type="paragraph" w:styleId="Textoindependiente">
    <w:name w:val="Body Text"/>
    <w:basedOn w:val="Normal"/>
    <w:link w:val="TextoindependienteCar"/>
    <w:semiHidden/>
    <w:rsid w:val="00675DA6"/>
    <w:pPr>
      <w:suppressAutoHyphens/>
      <w:spacing w:after="120"/>
    </w:pPr>
    <w:rPr>
      <w:rFonts w:ascii="Times New Roman" w:hAnsi="Times New Roman"/>
      <w:lang w:eastAsia="ar-SA"/>
    </w:rPr>
  </w:style>
  <w:style w:type="character" w:customStyle="1" w:styleId="TextoindependienteCar">
    <w:name w:val="Texto independiente Car"/>
    <w:basedOn w:val="Fuentedeprrafopredeter"/>
    <w:link w:val="Textoindependiente"/>
    <w:semiHidden/>
    <w:rsid w:val="00675DA6"/>
    <w:rPr>
      <w:rFonts w:ascii="Times New Roman" w:eastAsia="Times New Roman" w:hAnsi="Times New Roman" w:cs="Times New Roman"/>
      <w:sz w:val="24"/>
      <w:szCs w:val="24"/>
      <w:lang w:val="es-ES" w:eastAsia="ar-SA"/>
    </w:rPr>
  </w:style>
  <w:style w:type="character" w:customStyle="1" w:styleId="Ttulo2Car">
    <w:name w:val="Título 2 Car"/>
    <w:basedOn w:val="Fuentedeprrafopredeter"/>
    <w:link w:val="Ttulo2"/>
    <w:rsid w:val="00675DA6"/>
    <w:rPr>
      <w:rFonts w:ascii="Arial" w:eastAsia="Times New Roman" w:hAnsi="Arial" w:cs="Times New Roman"/>
      <w:b/>
      <w:bCs/>
      <w:sz w:val="24"/>
      <w:szCs w:val="24"/>
      <w:lang w:val="es-ES" w:eastAsia="es-ES"/>
    </w:rPr>
  </w:style>
  <w:style w:type="paragraph" w:styleId="Textoindependiente3">
    <w:name w:val="Body Text 3"/>
    <w:basedOn w:val="Normal"/>
    <w:link w:val="Textoindependiente3Car"/>
    <w:semiHidden/>
    <w:rsid w:val="00675DA6"/>
    <w:pPr>
      <w:widowControl w:val="0"/>
      <w:tabs>
        <w:tab w:val="left" w:pos="0"/>
      </w:tabs>
      <w:suppressAutoHyphens/>
      <w:ind w:right="-1412"/>
      <w:jc w:val="both"/>
    </w:pPr>
    <w:rPr>
      <w:szCs w:val="20"/>
      <w:lang w:val="es-ES_tradnl" w:eastAsia="ar-SA"/>
    </w:rPr>
  </w:style>
  <w:style w:type="character" w:customStyle="1" w:styleId="Textoindependiente3Car">
    <w:name w:val="Texto independiente 3 Car"/>
    <w:basedOn w:val="Fuentedeprrafopredeter"/>
    <w:link w:val="Textoindependiente3"/>
    <w:semiHidden/>
    <w:rsid w:val="00675DA6"/>
    <w:rPr>
      <w:rFonts w:ascii="Arial" w:eastAsia="Times New Roman" w:hAnsi="Arial" w:cs="Times New Roman"/>
      <w:sz w:val="24"/>
      <w:szCs w:val="20"/>
      <w:lang w:val="es-ES_tradnl" w:eastAsia="ar-SA"/>
    </w:rPr>
  </w:style>
  <w:style w:type="paragraph" w:styleId="Sangradetextonormal">
    <w:name w:val="Body Text Indent"/>
    <w:basedOn w:val="Normal"/>
    <w:link w:val="SangradetextonormalCar"/>
    <w:semiHidden/>
    <w:rsid w:val="00675DA6"/>
    <w:pPr>
      <w:suppressAutoHyphens/>
      <w:ind w:firstLine="1418"/>
      <w:jc w:val="both"/>
    </w:pPr>
    <w:rPr>
      <w:spacing w:val="-1"/>
      <w:lang w:eastAsia="ar-SA"/>
    </w:rPr>
  </w:style>
  <w:style w:type="character" w:customStyle="1" w:styleId="SangradetextonormalCar">
    <w:name w:val="Sangría de texto normal Car"/>
    <w:basedOn w:val="Fuentedeprrafopredeter"/>
    <w:link w:val="Sangradetextonormal"/>
    <w:semiHidden/>
    <w:rsid w:val="00675DA6"/>
    <w:rPr>
      <w:rFonts w:ascii="Arial" w:eastAsia="Times New Roman" w:hAnsi="Arial" w:cs="Times New Roman"/>
      <w:spacing w:val="-1"/>
      <w:sz w:val="24"/>
      <w:szCs w:val="24"/>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5F5"/>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675DA6"/>
    <w:pPr>
      <w:keepNext/>
      <w:jc w:val="both"/>
      <w:outlineLvl w:val="0"/>
    </w:pPr>
    <w:rPr>
      <w:b/>
      <w:bCs/>
      <w:lang w:val="es-ES_tradnl"/>
    </w:rPr>
  </w:style>
  <w:style w:type="paragraph" w:styleId="Ttulo2">
    <w:name w:val="heading 2"/>
    <w:basedOn w:val="Normal"/>
    <w:next w:val="Normal"/>
    <w:link w:val="Ttulo2Car"/>
    <w:qFormat/>
    <w:rsid w:val="00675DA6"/>
    <w:pPr>
      <w:keepNext/>
      <w:tabs>
        <w:tab w:val="left" w:pos="0"/>
      </w:tabs>
      <w:spacing w:line="360" w:lineRule="auto"/>
      <w:ind w:left="360"/>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rsid w:val="004105F5"/>
    <w:pPr>
      <w:widowControl w:val="0"/>
      <w:tabs>
        <w:tab w:val="left" w:pos="0"/>
      </w:tabs>
      <w:suppressAutoHyphens/>
      <w:spacing w:after="426"/>
      <w:jc w:val="both"/>
    </w:pPr>
    <w:rPr>
      <w:szCs w:val="20"/>
      <w:lang w:val="es-ES_tradnl" w:eastAsia="ar-SA"/>
    </w:rPr>
  </w:style>
  <w:style w:type="character" w:customStyle="1" w:styleId="Textoindependiente2Car">
    <w:name w:val="Texto independiente 2 Car"/>
    <w:basedOn w:val="Fuentedeprrafopredeter"/>
    <w:link w:val="Textoindependiente2"/>
    <w:semiHidden/>
    <w:rsid w:val="004105F5"/>
    <w:rPr>
      <w:rFonts w:ascii="Arial" w:eastAsia="Times New Roman" w:hAnsi="Arial" w:cs="Times New Roman"/>
      <w:sz w:val="24"/>
      <w:szCs w:val="20"/>
      <w:lang w:val="es-ES_tradnl" w:eastAsia="ar-SA"/>
    </w:rPr>
  </w:style>
  <w:style w:type="character" w:customStyle="1" w:styleId="Ttulo1Car">
    <w:name w:val="Título 1 Car"/>
    <w:basedOn w:val="Fuentedeprrafopredeter"/>
    <w:link w:val="Ttulo1"/>
    <w:rsid w:val="00675DA6"/>
    <w:rPr>
      <w:rFonts w:ascii="Arial" w:eastAsia="Times New Roman" w:hAnsi="Arial" w:cs="Times New Roman"/>
      <w:b/>
      <w:bCs/>
      <w:sz w:val="24"/>
      <w:szCs w:val="24"/>
      <w:lang w:val="es-ES_tradnl" w:eastAsia="es-ES"/>
    </w:rPr>
  </w:style>
  <w:style w:type="paragraph" w:styleId="Ttulo">
    <w:name w:val="Title"/>
    <w:basedOn w:val="Normal"/>
    <w:link w:val="TtuloCar"/>
    <w:qFormat/>
    <w:rsid w:val="00675DA6"/>
    <w:pPr>
      <w:tabs>
        <w:tab w:val="left" w:pos="0"/>
      </w:tabs>
      <w:suppressAutoHyphens/>
      <w:jc w:val="center"/>
    </w:pPr>
    <w:rPr>
      <w:b/>
      <w:spacing w:val="-1"/>
      <w:lang w:val="es-ES_tradnl" w:eastAsia="ar-SA"/>
    </w:rPr>
  </w:style>
  <w:style w:type="character" w:customStyle="1" w:styleId="TtuloCar">
    <w:name w:val="Título Car"/>
    <w:basedOn w:val="Fuentedeprrafopredeter"/>
    <w:link w:val="Ttulo"/>
    <w:rsid w:val="00675DA6"/>
    <w:rPr>
      <w:rFonts w:ascii="Arial" w:eastAsia="Times New Roman" w:hAnsi="Arial" w:cs="Times New Roman"/>
      <w:b/>
      <w:spacing w:val="-1"/>
      <w:sz w:val="24"/>
      <w:szCs w:val="24"/>
      <w:lang w:val="es-ES_tradnl" w:eastAsia="ar-SA"/>
    </w:rPr>
  </w:style>
  <w:style w:type="paragraph" w:styleId="Textoindependiente">
    <w:name w:val="Body Text"/>
    <w:basedOn w:val="Normal"/>
    <w:link w:val="TextoindependienteCar"/>
    <w:semiHidden/>
    <w:rsid w:val="00675DA6"/>
    <w:pPr>
      <w:suppressAutoHyphens/>
      <w:spacing w:after="120"/>
    </w:pPr>
    <w:rPr>
      <w:rFonts w:ascii="Times New Roman" w:hAnsi="Times New Roman"/>
      <w:lang w:eastAsia="ar-SA"/>
    </w:rPr>
  </w:style>
  <w:style w:type="character" w:customStyle="1" w:styleId="TextoindependienteCar">
    <w:name w:val="Texto independiente Car"/>
    <w:basedOn w:val="Fuentedeprrafopredeter"/>
    <w:link w:val="Textoindependiente"/>
    <w:semiHidden/>
    <w:rsid w:val="00675DA6"/>
    <w:rPr>
      <w:rFonts w:ascii="Times New Roman" w:eastAsia="Times New Roman" w:hAnsi="Times New Roman" w:cs="Times New Roman"/>
      <w:sz w:val="24"/>
      <w:szCs w:val="24"/>
      <w:lang w:val="es-ES" w:eastAsia="ar-SA"/>
    </w:rPr>
  </w:style>
  <w:style w:type="character" w:customStyle="1" w:styleId="Ttulo2Car">
    <w:name w:val="Título 2 Car"/>
    <w:basedOn w:val="Fuentedeprrafopredeter"/>
    <w:link w:val="Ttulo2"/>
    <w:rsid w:val="00675DA6"/>
    <w:rPr>
      <w:rFonts w:ascii="Arial" w:eastAsia="Times New Roman" w:hAnsi="Arial" w:cs="Times New Roman"/>
      <w:b/>
      <w:bCs/>
      <w:sz w:val="24"/>
      <w:szCs w:val="24"/>
      <w:lang w:val="es-ES" w:eastAsia="es-ES"/>
    </w:rPr>
  </w:style>
  <w:style w:type="paragraph" w:styleId="Textoindependiente3">
    <w:name w:val="Body Text 3"/>
    <w:basedOn w:val="Normal"/>
    <w:link w:val="Textoindependiente3Car"/>
    <w:semiHidden/>
    <w:rsid w:val="00675DA6"/>
    <w:pPr>
      <w:widowControl w:val="0"/>
      <w:tabs>
        <w:tab w:val="left" w:pos="0"/>
      </w:tabs>
      <w:suppressAutoHyphens/>
      <w:ind w:right="-1412"/>
      <w:jc w:val="both"/>
    </w:pPr>
    <w:rPr>
      <w:szCs w:val="20"/>
      <w:lang w:val="es-ES_tradnl" w:eastAsia="ar-SA"/>
    </w:rPr>
  </w:style>
  <w:style w:type="character" w:customStyle="1" w:styleId="Textoindependiente3Car">
    <w:name w:val="Texto independiente 3 Car"/>
    <w:basedOn w:val="Fuentedeprrafopredeter"/>
    <w:link w:val="Textoindependiente3"/>
    <w:semiHidden/>
    <w:rsid w:val="00675DA6"/>
    <w:rPr>
      <w:rFonts w:ascii="Arial" w:eastAsia="Times New Roman" w:hAnsi="Arial" w:cs="Times New Roman"/>
      <w:sz w:val="24"/>
      <w:szCs w:val="20"/>
      <w:lang w:val="es-ES_tradnl" w:eastAsia="ar-SA"/>
    </w:rPr>
  </w:style>
  <w:style w:type="paragraph" w:styleId="Sangradetextonormal">
    <w:name w:val="Body Text Indent"/>
    <w:basedOn w:val="Normal"/>
    <w:link w:val="SangradetextonormalCar"/>
    <w:semiHidden/>
    <w:rsid w:val="00675DA6"/>
    <w:pPr>
      <w:suppressAutoHyphens/>
      <w:ind w:firstLine="1418"/>
      <w:jc w:val="both"/>
    </w:pPr>
    <w:rPr>
      <w:spacing w:val="-1"/>
      <w:lang w:eastAsia="ar-SA"/>
    </w:rPr>
  </w:style>
  <w:style w:type="character" w:customStyle="1" w:styleId="SangradetextonormalCar">
    <w:name w:val="Sangría de texto normal Car"/>
    <w:basedOn w:val="Fuentedeprrafopredeter"/>
    <w:link w:val="Sangradetextonormal"/>
    <w:semiHidden/>
    <w:rsid w:val="00675DA6"/>
    <w:rPr>
      <w:rFonts w:ascii="Arial" w:eastAsia="Times New Roman" w:hAnsi="Arial" w:cs="Times New Roman"/>
      <w:spacing w:val="-1"/>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1195</Words>
  <Characters>6575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Castro</dc:creator>
  <cp:keywords/>
  <dc:description/>
  <cp:lastModifiedBy> </cp:lastModifiedBy>
  <cp:revision>3</cp:revision>
  <dcterms:created xsi:type="dcterms:W3CDTF">2014-08-28T21:28:00Z</dcterms:created>
  <dcterms:modified xsi:type="dcterms:W3CDTF">2014-09-22T20:15:00Z</dcterms:modified>
</cp:coreProperties>
</file>