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9D" w:rsidRDefault="001B60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B609D" w:rsidRDefault="001B60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B609D" w:rsidRDefault="001B60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B609D" w:rsidRDefault="001B609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B609D" w:rsidRDefault="001B60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 DE SETIEMBRE DE 2014</w:t>
      </w:r>
    </w:p>
    <w:p w:rsidR="001B609D" w:rsidRDefault="001B60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B609D" w:rsidRPr="001B609D" w:rsidRDefault="001B60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B609D">
        <w:rPr>
          <w:rFonts w:ascii="Helvetica" w:hAnsi="Helvetica"/>
          <w:b/>
          <w:lang w:val="es-UY"/>
        </w:rPr>
        <w:t>(E. E. Nº 2013-17-1-0006774, Ent. N° 4714/14)</w:t>
      </w:r>
    </w:p>
    <w:p w:rsidR="001B609D" w:rsidRPr="001B609D" w:rsidRDefault="001B609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1B609D" w:rsidRPr="001B609D" w:rsidRDefault="001B609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B609D" w:rsidRDefault="00570424" w:rsidP="001B609D">
      <w:pPr>
        <w:pStyle w:val="Textoindependiente"/>
        <w:tabs>
          <w:tab w:val="clear" w:pos="720"/>
          <w:tab w:val="clear" w:pos="1440"/>
          <w:tab w:val="clear" w:pos="2160"/>
          <w:tab w:val="clear" w:pos="2448"/>
        </w:tabs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VISTO</w:t>
      </w:r>
      <w:r>
        <w:rPr>
          <w:rFonts w:ascii="Arial" w:hAnsi="Arial"/>
        </w:rPr>
        <w:t>: las actuaciones remitid</w:t>
      </w:r>
      <w:r w:rsidR="001B609D">
        <w:rPr>
          <w:rFonts w:ascii="Arial" w:hAnsi="Arial"/>
        </w:rPr>
        <w:t>as por el Contador Delegado en</w:t>
      </w:r>
      <w:r>
        <w:rPr>
          <w:rFonts w:ascii="Arial" w:hAnsi="Arial"/>
        </w:rPr>
        <w:t xml:space="preserve"> la Inte</w:t>
      </w:r>
      <w:r w:rsidR="001B609D">
        <w:rPr>
          <w:rFonts w:ascii="Arial" w:hAnsi="Arial"/>
        </w:rPr>
        <w:t>ndencia de Canelones relacionadas</w:t>
      </w:r>
      <w:r>
        <w:rPr>
          <w:rFonts w:ascii="Arial" w:hAnsi="Arial"/>
        </w:rPr>
        <w:t xml:space="preserve">  con la contratación con la empresa UR S</w:t>
      </w:r>
      <w:r w:rsidR="001B609D">
        <w:rPr>
          <w:rFonts w:ascii="Arial" w:hAnsi="Arial"/>
        </w:rPr>
        <w:t>.</w:t>
      </w:r>
      <w:r>
        <w:rPr>
          <w:rFonts w:ascii="Arial" w:hAnsi="Arial"/>
        </w:rPr>
        <w:t>A</w:t>
      </w:r>
      <w:r w:rsidR="001B609D">
        <w:rPr>
          <w:rFonts w:ascii="Arial" w:hAnsi="Arial"/>
        </w:rPr>
        <w:t>.,</w:t>
      </w:r>
      <w:r>
        <w:rPr>
          <w:rFonts w:ascii="Arial" w:hAnsi="Arial"/>
        </w:rPr>
        <w:t xml:space="preserve"> respecto a la parcela señalada con el número 3 en el anteproyecto del Parque Industrial Pando;</w:t>
      </w:r>
    </w:p>
    <w:p w:rsidR="001B609D" w:rsidRDefault="00570424" w:rsidP="001B609D">
      <w:pPr>
        <w:pStyle w:val="Textoindependiente"/>
        <w:tabs>
          <w:tab w:val="clear" w:pos="720"/>
          <w:tab w:val="clear" w:pos="1440"/>
          <w:tab w:val="clear" w:pos="2160"/>
          <w:tab w:val="clear" w:pos="2448"/>
        </w:tabs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RESULTANDO: 1)</w:t>
      </w:r>
      <w:r>
        <w:rPr>
          <w:rFonts w:ascii="Arial" w:hAnsi="Arial"/>
        </w:rPr>
        <w:t xml:space="preserve"> que mediante Resolución Nº 12/02053 se dispuso realizar un llamado a interesados a instalarse en el futuro Parque Indust</w:t>
      </w:r>
      <w:r w:rsidR="001B609D">
        <w:rPr>
          <w:rFonts w:ascii="Arial" w:hAnsi="Arial"/>
        </w:rPr>
        <w:t>rial de Pando en los Padrones Nos.</w:t>
      </w:r>
      <w:r>
        <w:rPr>
          <w:rFonts w:ascii="Arial" w:hAnsi="Arial"/>
        </w:rPr>
        <w:t xml:space="preserve"> 5.161, 5.162, 5.160, 5.165 y 5.164</w:t>
      </w:r>
      <w:r w:rsidR="00146373">
        <w:rPr>
          <w:rFonts w:ascii="Arial" w:hAnsi="Arial"/>
        </w:rPr>
        <w:t xml:space="preserve">, zona suburbana de la localidad de Pando, al </w:t>
      </w:r>
      <w:r w:rsidR="001B609D">
        <w:rPr>
          <w:rFonts w:ascii="Arial" w:hAnsi="Arial"/>
        </w:rPr>
        <w:t>amparo de lo establecido en la L</w:t>
      </w:r>
      <w:r w:rsidR="00146373">
        <w:rPr>
          <w:rFonts w:ascii="Arial" w:hAnsi="Arial"/>
        </w:rPr>
        <w:t>ey Nº 17.547  de 19/12/2005</w:t>
      </w:r>
      <w:r w:rsidR="001B609D">
        <w:rPr>
          <w:rFonts w:ascii="Arial" w:hAnsi="Arial"/>
        </w:rPr>
        <w:t>;</w:t>
      </w:r>
    </w:p>
    <w:p w:rsidR="001B609D" w:rsidRDefault="00570424" w:rsidP="001B609D">
      <w:pPr>
        <w:pStyle w:val="Textoindependiente"/>
        <w:tabs>
          <w:tab w:val="clear" w:pos="720"/>
          <w:tab w:val="clear" w:pos="1440"/>
          <w:tab w:val="clear" w:pos="2160"/>
          <w:tab w:val="clear" w:pos="2448"/>
        </w:tabs>
        <w:ind w:firstLine="2835"/>
        <w:rPr>
          <w:rFonts w:ascii="Arial" w:hAnsi="Arial"/>
        </w:rPr>
      </w:pPr>
      <w:r>
        <w:rPr>
          <w:rFonts w:ascii="Arial" w:hAnsi="Arial"/>
          <w:b/>
          <w:bCs/>
        </w:rPr>
        <w:t>2)</w:t>
      </w:r>
      <w:r>
        <w:rPr>
          <w:rFonts w:ascii="Arial" w:hAnsi="Arial"/>
        </w:rPr>
        <w:t xml:space="preserve"> que el Intendente por Resolución Nº 12/02971</w:t>
      </w:r>
      <w:r w:rsidR="001B609D">
        <w:rPr>
          <w:rFonts w:ascii="Arial" w:hAnsi="Arial"/>
        </w:rPr>
        <w:t xml:space="preserve"> de fecha 18/02/12, de acuerdo con</w:t>
      </w:r>
      <w:r>
        <w:rPr>
          <w:rFonts w:ascii="Arial" w:hAnsi="Arial"/>
        </w:rPr>
        <w:t xml:space="preserve"> lo aconsejado por la Comisión de Evaluación,  precalificó los proyectos presentados por las empresas: Chatillon S.A. (Carrau y Cía. S.A.); Papas Chip S.A. (Pepsico); Sudog S.A. (Simbiosis) y UR S.A. (Urban)</w:t>
      </w:r>
      <w:r w:rsidR="001B609D">
        <w:rPr>
          <w:rFonts w:ascii="Arial" w:hAnsi="Arial"/>
        </w:rPr>
        <w:t xml:space="preserve">, </w:t>
      </w:r>
      <w:r w:rsidR="00146373">
        <w:rPr>
          <w:rFonts w:ascii="Arial" w:hAnsi="Arial"/>
        </w:rPr>
        <w:t>iniciándose una etapa de negociación en torno a las condiciones para su instalación</w:t>
      </w:r>
      <w:r w:rsidR="001B609D">
        <w:rPr>
          <w:rFonts w:ascii="Arial" w:hAnsi="Arial"/>
        </w:rPr>
        <w:t>;</w:t>
      </w:r>
    </w:p>
    <w:p w:rsidR="00570424" w:rsidRDefault="00570424" w:rsidP="001B609D">
      <w:pPr>
        <w:pStyle w:val="Textoindependiente"/>
        <w:tabs>
          <w:tab w:val="clear" w:pos="720"/>
          <w:tab w:val="clear" w:pos="1440"/>
          <w:tab w:val="clear" w:pos="2160"/>
          <w:tab w:val="clear" w:pos="2448"/>
        </w:tabs>
        <w:ind w:firstLine="2835"/>
        <w:rPr>
          <w:rFonts w:ascii="Arial" w:hAnsi="Arial" w:cs="Arial"/>
        </w:rPr>
      </w:pPr>
      <w:r>
        <w:rPr>
          <w:rFonts w:ascii="Arial" w:hAnsi="Arial"/>
          <w:b/>
          <w:bCs/>
        </w:rPr>
        <w:t>3)</w:t>
      </w:r>
      <w:r>
        <w:rPr>
          <w:rFonts w:ascii="Arial" w:hAnsi="Arial"/>
        </w:rPr>
        <w:t xml:space="preserve"> </w:t>
      </w:r>
      <w:r w:rsidR="00A6244B">
        <w:rPr>
          <w:rFonts w:ascii="Arial" w:hAnsi="Arial"/>
        </w:rPr>
        <w:t>q</w:t>
      </w:r>
      <w:r>
        <w:rPr>
          <w:rFonts w:ascii="Arial" w:hAnsi="Arial"/>
        </w:rPr>
        <w:t xml:space="preserve">ue </w:t>
      </w:r>
      <w:r w:rsidR="00A6244B">
        <w:rPr>
          <w:rFonts w:ascii="Arial" w:hAnsi="Arial"/>
        </w:rPr>
        <w:t xml:space="preserve">con fecha 10/5/2012 el Intendente solicitó anuencia a la Junta Departamental, expresando en </w:t>
      </w:r>
      <w:r w:rsidR="001B609D">
        <w:rPr>
          <w:rFonts w:ascii="Arial" w:hAnsi="Arial" w:cs="Arial"/>
        </w:rPr>
        <w:t>los C</w:t>
      </w:r>
      <w:r>
        <w:rPr>
          <w:rFonts w:ascii="Arial" w:hAnsi="Arial" w:cs="Arial"/>
        </w:rPr>
        <w:t xml:space="preserve">onsiderandos de la Resolución remitida a la </w:t>
      </w:r>
      <w:r w:rsidR="00A6244B">
        <w:rPr>
          <w:rFonts w:ascii="Arial" w:hAnsi="Arial" w:cs="Arial"/>
        </w:rPr>
        <w:t>misma</w:t>
      </w:r>
      <w:r>
        <w:rPr>
          <w:rFonts w:ascii="Arial" w:hAnsi="Arial" w:cs="Arial"/>
        </w:rPr>
        <w:t>, que corresponde se disponga sobre los aspectos que autoricen a la Intendencia distintas formas de contratar con los interesados, sobre el canon a aplicar y posibles formas de asociación a efectos de:</w:t>
      </w:r>
    </w:p>
    <w:p w:rsidR="001B609D" w:rsidRPr="001B609D" w:rsidRDefault="00570424" w:rsidP="001B609D">
      <w:pPr>
        <w:pStyle w:val="Prrafodelista"/>
        <w:numPr>
          <w:ilvl w:val="0"/>
          <w:numId w:val="22"/>
        </w:numPr>
        <w:tabs>
          <w:tab w:val="clear" w:pos="92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B609D">
        <w:rPr>
          <w:rFonts w:ascii="Arial" w:hAnsi="Arial" w:cs="Arial"/>
        </w:rPr>
        <w:t>Permitir un amplio abanico de opciones de comercialización de los espacios, que posibilite la instalación de empresas medianas y pequeñas que no siempre pueden contemplar altos arrendamientos o que utilizan la propiedad del suelo para apalancar las restantes inversiones;</w:t>
      </w:r>
    </w:p>
    <w:p w:rsidR="00A6244B" w:rsidRPr="001B609D" w:rsidRDefault="00570424" w:rsidP="001B609D">
      <w:pPr>
        <w:pStyle w:val="Prrafodelista"/>
        <w:numPr>
          <w:ilvl w:val="0"/>
          <w:numId w:val="22"/>
        </w:numPr>
        <w:tabs>
          <w:tab w:val="clear" w:pos="927"/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B609D">
        <w:rPr>
          <w:rFonts w:ascii="Arial" w:hAnsi="Arial" w:cs="Arial"/>
        </w:rPr>
        <w:lastRenderedPageBreak/>
        <w:t xml:space="preserve">Ofrecer un estímulo adicional para las empresas que puedan estar iniciando su proceso de instalación en el correr de 2012; y </w:t>
      </w:r>
    </w:p>
    <w:p w:rsidR="00A6244B" w:rsidRPr="005B30EE" w:rsidRDefault="00570424" w:rsidP="005B30EE">
      <w:pPr>
        <w:pStyle w:val="Prrafodelista"/>
        <w:numPr>
          <w:ilvl w:val="0"/>
          <w:numId w:val="22"/>
        </w:numPr>
        <w:tabs>
          <w:tab w:val="clear" w:pos="927"/>
          <w:tab w:val="num" w:pos="284"/>
        </w:tabs>
        <w:spacing w:line="360" w:lineRule="auto"/>
        <w:ind w:left="284" w:hanging="284"/>
        <w:jc w:val="both"/>
        <w:rPr>
          <w:rFonts w:ascii="Arial" w:eastAsia="Batang" w:hAnsi="Arial"/>
          <w:bCs/>
        </w:rPr>
      </w:pPr>
      <w:r w:rsidRPr="005B30EE">
        <w:rPr>
          <w:rFonts w:ascii="Arial" w:hAnsi="Arial" w:cs="Arial"/>
        </w:rPr>
        <w:t>Desarrollar y gerenciar el Parque Industrial en forma directa mediante mecanismos ágiles y transparentes vinculados al derecho privado, según los Artículos 25 y 26 de la Ley Nº 17.555 de 18 de setiembre de 2002</w:t>
      </w:r>
      <w:r w:rsidRPr="005B30EE">
        <w:rPr>
          <w:rFonts w:ascii="Arial" w:hAnsi="Arial" w:cs="Arial"/>
          <w:b/>
          <w:bCs/>
        </w:rPr>
        <w:t>,</w:t>
      </w:r>
      <w:r w:rsidRPr="005B30EE">
        <w:rPr>
          <w:rFonts w:ascii="Arial" w:hAnsi="Arial" w:cs="Arial"/>
        </w:rPr>
        <w:t xml:space="preserve"> o convenir el gerenciamiento con empresas privadas mediante un canon si se presentaran propuestas con mejores rentabilidades para el Gobierno que las que se estima obtener mediante la gestión</w:t>
      </w:r>
      <w:r w:rsidR="00A6244B" w:rsidRPr="005B30EE">
        <w:rPr>
          <w:rFonts w:ascii="Arial" w:hAnsi="Arial" w:cs="Arial"/>
        </w:rPr>
        <w:t xml:space="preserve"> propia;</w:t>
      </w:r>
    </w:p>
    <w:p w:rsidR="00FB6BA5" w:rsidRPr="00FB6BA5" w:rsidRDefault="005B30EE" w:rsidP="005B30EE">
      <w:pPr>
        <w:spacing w:line="360" w:lineRule="auto"/>
        <w:ind w:firstLine="2835"/>
        <w:jc w:val="both"/>
        <w:rPr>
          <w:rFonts w:ascii="Arial" w:hAnsi="Arial" w:cs="Arial"/>
        </w:rPr>
      </w:pPr>
      <w:r w:rsidRPr="005B30EE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="00A6244B" w:rsidRPr="00FB6BA5">
        <w:rPr>
          <w:rFonts w:ascii="Arial" w:hAnsi="Arial" w:cs="Arial"/>
        </w:rPr>
        <w:t xml:space="preserve">que </w:t>
      </w:r>
      <w:r w:rsidR="007750EB" w:rsidRPr="00FB6BA5">
        <w:rPr>
          <w:rFonts w:ascii="Arial" w:eastAsia="Batang" w:hAnsi="Arial"/>
          <w:bCs/>
        </w:rPr>
        <w:t xml:space="preserve">la Junta Departamental </w:t>
      </w:r>
      <w:r w:rsidR="00A6244B" w:rsidRPr="00FB6BA5">
        <w:rPr>
          <w:rFonts w:ascii="Arial" w:hAnsi="Arial" w:cs="Arial"/>
        </w:rPr>
        <w:t xml:space="preserve">en </w:t>
      </w:r>
      <w:r>
        <w:rPr>
          <w:rFonts w:ascii="Arial" w:eastAsia="Batang" w:hAnsi="Arial"/>
          <w:bCs/>
        </w:rPr>
        <w:t>S</w:t>
      </w:r>
      <w:r w:rsidR="00A6244B" w:rsidRPr="00FB6BA5">
        <w:rPr>
          <w:rFonts w:ascii="Arial" w:eastAsia="Batang" w:hAnsi="Arial"/>
          <w:bCs/>
        </w:rPr>
        <w:t xml:space="preserve">esión de fecha 29.05.2012 por Resolución Nº 1271 otorgó anuencia al Intendente para: </w:t>
      </w:r>
    </w:p>
    <w:p w:rsidR="005B30EE" w:rsidRDefault="00FB6BA5" w:rsidP="005B30EE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B30EE">
        <w:rPr>
          <w:rFonts w:ascii="Arial" w:eastAsia="Batang" w:hAnsi="Arial"/>
          <w:b/>
          <w:bCs/>
        </w:rPr>
        <w:t>a)</w:t>
      </w:r>
      <w:r>
        <w:rPr>
          <w:rFonts w:ascii="Arial" w:eastAsia="Batang" w:hAnsi="Arial"/>
          <w:bCs/>
        </w:rPr>
        <w:t xml:space="preserve"> </w:t>
      </w:r>
      <w:r w:rsidR="00A6244B" w:rsidRPr="00FB6BA5">
        <w:rPr>
          <w:rFonts w:ascii="Arial" w:hAnsi="Arial" w:cs="Arial"/>
        </w:rPr>
        <w:t>enajenar, arrendar y/o conceder a la o las empresas que cumplan con los requerimientos establecidos en el llamado, las fracciones necesarias para el Proyecto calificado;</w:t>
      </w:r>
    </w:p>
    <w:p w:rsidR="005B30EE" w:rsidRDefault="00FB6BA5" w:rsidP="005B30EE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B30EE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="00A6244B" w:rsidRPr="00FB6BA5">
        <w:rPr>
          <w:rFonts w:ascii="Arial" w:hAnsi="Arial" w:cs="Arial"/>
        </w:rPr>
        <w:t xml:space="preserve">otorgar un canon diferencial, a las empresas que se presenten al llamado abierto realizado por Resolución Nº 12/02053 e instalen en un plazo que no exceda </w:t>
      </w:r>
      <w:r w:rsidR="005B30EE">
        <w:rPr>
          <w:rFonts w:ascii="Arial" w:hAnsi="Arial" w:cs="Arial"/>
        </w:rPr>
        <w:t>los cuatro</w:t>
      </w:r>
      <w:r w:rsidR="00A6244B" w:rsidRPr="00FB6BA5">
        <w:rPr>
          <w:rFonts w:ascii="Arial" w:hAnsi="Arial" w:cs="Arial"/>
        </w:rPr>
        <w:t xml:space="preserve"> meses desde la adjudicación;</w:t>
      </w:r>
    </w:p>
    <w:p w:rsidR="00FB6BA5" w:rsidRDefault="00FB6BA5" w:rsidP="005B30EE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B30EE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 w:rsidR="00A6244B" w:rsidRPr="00FB6BA5">
        <w:rPr>
          <w:rFonts w:ascii="Arial" w:hAnsi="Arial" w:cs="Arial"/>
        </w:rPr>
        <w:t>crear una sociedad de derecho privado o convenir el gerenciamiento del parque con empresa/s privada/s que pr</w:t>
      </w:r>
      <w:r w:rsidR="005B30EE">
        <w:rPr>
          <w:rFonts w:ascii="Arial" w:hAnsi="Arial" w:cs="Arial"/>
        </w:rPr>
        <w:t>esenten plan de negocio acorde con</w:t>
      </w:r>
      <w:r w:rsidR="00A6244B" w:rsidRPr="00FB6BA5">
        <w:rPr>
          <w:rFonts w:ascii="Arial" w:hAnsi="Arial" w:cs="Arial"/>
        </w:rPr>
        <w:t xml:space="preserve"> las características del parque y la normativa nacional y departamental vigentes; </w:t>
      </w:r>
    </w:p>
    <w:p w:rsidR="005B30EE" w:rsidRDefault="00FB6BA5" w:rsidP="005B30EE">
      <w:pPr>
        <w:spacing w:line="360" w:lineRule="auto"/>
        <w:ind w:firstLine="2835"/>
        <w:jc w:val="both"/>
        <w:rPr>
          <w:rFonts w:ascii="Arial" w:hAnsi="Arial"/>
        </w:rPr>
      </w:pPr>
      <w:r w:rsidRPr="00FB6BA5">
        <w:rPr>
          <w:rFonts w:ascii="Arial" w:hAnsi="Arial"/>
          <w:b/>
        </w:rPr>
        <w:t>5)</w:t>
      </w:r>
      <w:r>
        <w:rPr>
          <w:rFonts w:ascii="Arial" w:hAnsi="Arial"/>
        </w:rPr>
        <w:t xml:space="preserve"> </w:t>
      </w:r>
      <w:r w:rsidR="00A6244B">
        <w:rPr>
          <w:rFonts w:ascii="Arial" w:hAnsi="Arial"/>
        </w:rPr>
        <w:t>que de las actuaciones remitidas surge que el Legislativo Departamental mediante Decreto Nº 45 de fecha 21.09.12 aprobó el Estatuto del referido Parque;</w:t>
      </w:r>
    </w:p>
    <w:p w:rsidR="00570424" w:rsidRDefault="00570424" w:rsidP="005B30EE">
      <w:pPr>
        <w:spacing w:line="360" w:lineRule="auto"/>
        <w:ind w:firstLine="2835"/>
        <w:jc w:val="both"/>
        <w:rPr>
          <w:rFonts w:ascii="Arial" w:eastAsia="Batang" w:hAnsi="Arial"/>
          <w:bCs/>
          <w:spacing w:val="-3"/>
        </w:rPr>
      </w:pPr>
      <w:r>
        <w:rPr>
          <w:rFonts w:ascii="Arial" w:eastAsia="Batang" w:hAnsi="Arial"/>
          <w:b/>
          <w:spacing w:val="-3"/>
        </w:rPr>
        <w:t xml:space="preserve">6) </w:t>
      </w:r>
      <w:r>
        <w:rPr>
          <w:rFonts w:ascii="Arial" w:eastAsia="Batang" w:hAnsi="Arial"/>
          <w:bCs/>
          <w:spacing w:val="-3"/>
        </w:rPr>
        <w:t xml:space="preserve"> que este Tribunal, en Sesión de fecha 15.08.12 respecto de la citada anuencia consideró que:</w:t>
      </w:r>
    </w:p>
    <w:p w:rsidR="00570424" w:rsidRDefault="00570424" w:rsidP="00905067">
      <w:pPr>
        <w:pStyle w:val="Textodenotaalfinal"/>
        <w:numPr>
          <w:ilvl w:val="1"/>
          <w:numId w:val="22"/>
        </w:numPr>
        <w:tabs>
          <w:tab w:val="clear" w:pos="927"/>
          <w:tab w:val="left" w:pos="-1440"/>
          <w:tab w:val="left" w:pos="-709"/>
          <w:tab w:val="left" w:pos="-567"/>
          <w:tab w:val="left" w:pos="0"/>
          <w:tab w:val="num" w:pos="284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eastAsia="Batang" w:hAnsi="Arial"/>
          <w:bCs/>
          <w:spacing w:val="-3"/>
        </w:rPr>
      </w:pPr>
      <w:r>
        <w:rPr>
          <w:rFonts w:ascii="Arial" w:eastAsia="Batang" w:hAnsi="Arial"/>
          <w:bCs/>
          <w:spacing w:val="-3"/>
        </w:rPr>
        <w:t>la misma constituye una autorización genérica para realizar determinadas contrataciones (enajenar, arrendar, conceder) fijar precios diferenciales e incluso crear una sociedad de derecho privado, lo cual contraviene las normas legales que requieren tal requisito a cada caso concreto, con mayorías especiales;</w:t>
      </w:r>
    </w:p>
    <w:p w:rsidR="00570424" w:rsidRDefault="00570424" w:rsidP="00905067">
      <w:pPr>
        <w:pStyle w:val="Textodenotaalfinal"/>
        <w:numPr>
          <w:ilvl w:val="1"/>
          <w:numId w:val="22"/>
        </w:numPr>
        <w:tabs>
          <w:tab w:val="clear" w:pos="927"/>
          <w:tab w:val="left" w:pos="-1440"/>
          <w:tab w:val="left" w:pos="-709"/>
          <w:tab w:val="left" w:pos="-567"/>
          <w:tab w:val="num" w:pos="284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eastAsia="Batang" w:hAnsi="Arial"/>
          <w:bCs/>
          <w:spacing w:val="-3"/>
        </w:rPr>
      </w:pPr>
      <w:r>
        <w:rPr>
          <w:rFonts w:ascii="Arial" w:eastAsia="Batang" w:hAnsi="Arial"/>
          <w:bCs/>
          <w:spacing w:val="-3"/>
        </w:rPr>
        <w:lastRenderedPageBreak/>
        <w:t>que no se invoca ninguna norma que autorice a un Gobierno Departamental a crear una sociedad de derecho privado ni a desarrollar y gerenciar un Parque Industrial  mediante mecanismos vinculados al derecho privado;</w:t>
      </w:r>
    </w:p>
    <w:p w:rsidR="00570424" w:rsidRDefault="00570424" w:rsidP="00905067">
      <w:pPr>
        <w:pStyle w:val="Textodenotaalfinal"/>
        <w:numPr>
          <w:ilvl w:val="1"/>
          <w:numId w:val="22"/>
        </w:numPr>
        <w:tabs>
          <w:tab w:val="clear" w:pos="927"/>
          <w:tab w:val="left" w:pos="-1440"/>
          <w:tab w:val="left" w:pos="-709"/>
          <w:tab w:val="left" w:pos="-567"/>
          <w:tab w:val="left" w:pos="0"/>
          <w:tab w:val="num" w:pos="284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eastAsia="Batang" w:hAnsi="Arial"/>
          <w:bCs/>
          <w:spacing w:val="-3"/>
        </w:rPr>
      </w:pPr>
      <w:r>
        <w:rPr>
          <w:rFonts w:ascii="Arial" w:eastAsia="Batang" w:hAnsi="Arial"/>
          <w:bCs/>
          <w:spacing w:val="-3"/>
        </w:rPr>
        <w:t>que tal auto</w:t>
      </w:r>
      <w:r w:rsidR="00905067">
        <w:rPr>
          <w:rFonts w:ascii="Arial" w:eastAsia="Batang" w:hAnsi="Arial"/>
          <w:bCs/>
          <w:spacing w:val="-3"/>
        </w:rPr>
        <w:t>rización legal no emana de los Artículos 25 y 26 de la Ley Nº</w:t>
      </w:r>
      <w:r>
        <w:rPr>
          <w:rFonts w:ascii="Arial" w:eastAsia="Batang" w:hAnsi="Arial"/>
          <w:bCs/>
          <w:spacing w:val="-3"/>
        </w:rPr>
        <w:t>17.555 que se invocan ni tampoco encuadra el caso pl</w:t>
      </w:r>
      <w:r w:rsidR="00905067">
        <w:rPr>
          <w:rFonts w:ascii="Arial" w:eastAsia="Batang" w:hAnsi="Arial"/>
          <w:bCs/>
          <w:spacing w:val="-3"/>
        </w:rPr>
        <w:t>anteado, en lo dispuesto en la L</w:t>
      </w:r>
      <w:r>
        <w:rPr>
          <w:rFonts w:ascii="Arial" w:eastAsia="Batang" w:hAnsi="Arial"/>
          <w:bCs/>
          <w:spacing w:val="-3"/>
        </w:rPr>
        <w:t>ey 18.093</w:t>
      </w:r>
      <w:r w:rsidR="00FA2A29">
        <w:rPr>
          <w:rFonts w:ascii="Arial" w:eastAsia="Batang" w:hAnsi="Arial"/>
          <w:bCs/>
          <w:spacing w:val="-3"/>
        </w:rPr>
        <w:t>;</w:t>
      </w:r>
    </w:p>
    <w:p w:rsidR="00570424" w:rsidRDefault="00570424" w:rsidP="00905067">
      <w:pPr>
        <w:pStyle w:val="Textodenotaalfinal"/>
        <w:numPr>
          <w:ilvl w:val="0"/>
          <w:numId w:val="22"/>
        </w:numPr>
        <w:tabs>
          <w:tab w:val="clear" w:pos="927"/>
          <w:tab w:val="left" w:pos="-1440"/>
          <w:tab w:val="left" w:pos="-709"/>
          <w:tab w:val="left" w:pos="-567"/>
          <w:tab w:val="left" w:pos="0"/>
          <w:tab w:val="num" w:pos="284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eastAsia="Batang" w:hAnsi="Arial"/>
          <w:bCs/>
          <w:spacing w:val="-3"/>
        </w:rPr>
      </w:pPr>
      <w:r>
        <w:rPr>
          <w:rFonts w:ascii="Arial" w:eastAsia="Batang" w:hAnsi="Arial"/>
          <w:bCs/>
          <w:spacing w:val="-3"/>
        </w:rPr>
        <w:t>que en consecuencia todos los procedimientos a realizarse deben ajustarse a lo dispuest</w:t>
      </w:r>
      <w:r w:rsidR="00905067">
        <w:rPr>
          <w:rFonts w:ascii="Arial" w:eastAsia="Batang" w:hAnsi="Arial"/>
          <w:bCs/>
          <w:spacing w:val="-3"/>
        </w:rPr>
        <w:t>o en el TOCAF y en su caso las L</w:t>
      </w:r>
      <w:r>
        <w:rPr>
          <w:rFonts w:ascii="Arial" w:eastAsia="Batang" w:hAnsi="Arial"/>
          <w:bCs/>
          <w:spacing w:val="-3"/>
        </w:rPr>
        <w:t>eyes aplicables (</w:t>
      </w:r>
      <w:r w:rsidR="00905067">
        <w:rPr>
          <w:rFonts w:ascii="Arial" w:eastAsia="Batang" w:hAnsi="Arial"/>
          <w:bCs/>
          <w:spacing w:val="-3"/>
        </w:rPr>
        <w:t>Nos.</w:t>
      </w:r>
      <w:r w:rsidR="00FA2A29">
        <w:rPr>
          <w:rFonts w:ascii="Arial" w:eastAsia="Batang" w:hAnsi="Arial"/>
          <w:bCs/>
          <w:spacing w:val="-3"/>
        </w:rPr>
        <w:t xml:space="preserve"> </w:t>
      </w:r>
      <w:r>
        <w:rPr>
          <w:rFonts w:ascii="Arial" w:eastAsia="Batang" w:hAnsi="Arial"/>
          <w:bCs/>
          <w:spacing w:val="-3"/>
        </w:rPr>
        <w:t>9515 y 17.547)</w:t>
      </w:r>
      <w:r w:rsidR="00905067">
        <w:rPr>
          <w:rFonts w:ascii="Arial" w:eastAsia="Batang" w:hAnsi="Arial"/>
          <w:bCs/>
          <w:spacing w:val="-3"/>
        </w:rPr>
        <w:t>;</w:t>
      </w:r>
    </w:p>
    <w:p w:rsidR="00570424" w:rsidRDefault="00905067" w:rsidP="00905067">
      <w:pPr>
        <w:pStyle w:val="Textodenotaalfinal"/>
        <w:tabs>
          <w:tab w:val="left" w:pos="-1440"/>
          <w:tab w:val="left" w:pos="-709"/>
          <w:tab w:val="left" w:pos="-567"/>
          <w:tab w:val="left" w:pos="0"/>
          <w:tab w:val="left" w:pos="6480"/>
          <w:tab w:val="left" w:pos="7920"/>
        </w:tabs>
        <w:suppressAutoHyphens/>
        <w:spacing w:line="360" w:lineRule="auto"/>
        <w:ind w:left="284" w:hanging="284"/>
        <w:jc w:val="both"/>
        <w:rPr>
          <w:rFonts w:ascii="Arial" w:eastAsia="Batang" w:hAnsi="Arial"/>
          <w:bCs/>
          <w:spacing w:val="-3"/>
        </w:rPr>
      </w:pPr>
      <w:r w:rsidRPr="00905067">
        <w:rPr>
          <w:rFonts w:ascii="Arial" w:eastAsia="Batang" w:hAnsi="Arial"/>
          <w:b/>
          <w:bCs/>
          <w:spacing w:val="-3"/>
        </w:rPr>
        <w:t>e)</w:t>
      </w:r>
      <w:r>
        <w:rPr>
          <w:rFonts w:ascii="Arial" w:eastAsia="Batang" w:hAnsi="Arial"/>
          <w:bCs/>
          <w:spacing w:val="-3"/>
        </w:rPr>
        <w:t xml:space="preserve"> </w:t>
      </w:r>
      <w:r w:rsidR="00570424">
        <w:rPr>
          <w:rFonts w:ascii="Arial" w:eastAsia="Batang" w:hAnsi="Arial"/>
          <w:bCs/>
          <w:spacing w:val="-3"/>
        </w:rPr>
        <w:t xml:space="preserve">que en cada caso concreto deberá obtenerse la autorización de la Junta Departamental y remitirse las actuaciones al Tribunal de Cuentas a efectos del control de legalidad que le compete; </w:t>
      </w:r>
    </w:p>
    <w:p w:rsidR="00905067" w:rsidRDefault="00570424" w:rsidP="00905067">
      <w:pPr>
        <w:pStyle w:val="Textoindependiente"/>
        <w:tabs>
          <w:tab w:val="clear" w:pos="0"/>
          <w:tab w:val="clear" w:pos="720"/>
          <w:tab w:val="clear" w:pos="1440"/>
          <w:tab w:val="clear" w:pos="2160"/>
          <w:tab w:val="clear" w:pos="2448"/>
          <w:tab w:val="left" w:pos="-284"/>
        </w:tabs>
        <w:ind w:firstLine="2835"/>
        <w:rPr>
          <w:rFonts w:ascii="Arial" w:hAnsi="Arial"/>
        </w:rPr>
      </w:pPr>
      <w:r>
        <w:rPr>
          <w:rFonts w:ascii="Arial" w:hAnsi="Arial"/>
          <w:b/>
          <w:bCs/>
        </w:rPr>
        <w:t xml:space="preserve">7) </w:t>
      </w:r>
      <w:r>
        <w:rPr>
          <w:rFonts w:ascii="Arial" w:hAnsi="Arial"/>
        </w:rPr>
        <w:t>que el Intendente, con fecha 29.05.13 invocando la anuencia referida, celebró un contrato con la empresa UR S.A. (Urban) por el cual la  empresa, se compromete a adquirir una parcela de 35.000 m</w:t>
      </w:r>
      <w:r w:rsidRPr="00905067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por la suma de U$S 525.000 (a razón de U$S 15 el metro cuadrado);</w:t>
      </w:r>
    </w:p>
    <w:p w:rsidR="00905067" w:rsidRDefault="00570424" w:rsidP="00905067">
      <w:pPr>
        <w:pStyle w:val="Textoindependiente"/>
        <w:tabs>
          <w:tab w:val="clear" w:pos="0"/>
          <w:tab w:val="clear" w:pos="720"/>
          <w:tab w:val="clear" w:pos="1440"/>
          <w:tab w:val="clear" w:pos="2160"/>
          <w:tab w:val="clear" w:pos="2448"/>
          <w:tab w:val="left" w:pos="-284"/>
        </w:tabs>
        <w:ind w:firstLine="2835"/>
        <w:rPr>
          <w:rFonts w:ascii="Arial" w:hAnsi="Arial"/>
        </w:rPr>
      </w:pPr>
      <w:r>
        <w:rPr>
          <w:rFonts w:ascii="Arial" w:hAnsi="Arial"/>
          <w:b/>
          <w:bCs/>
        </w:rPr>
        <w:t xml:space="preserve">8) </w:t>
      </w:r>
      <w:r w:rsidR="00905067">
        <w:rPr>
          <w:rFonts w:ascii="Arial" w:hAnsi="Arial"/>
        </w:rPr>
        <w:t>que de acuerdo con</w:t>
      </w:r>
      <w:r>
        <w:rPr>
          <w:rFonts w:ascii="Arial" w:hAnsi="Arial"/>
        </w:rPr>
        <w:t xml:space="preserve"> lo dispuesto en la cláusula 2.4 del contrato, el precio se pagará en especie y consi</w:t>
      </w:r>
      <w:r w:rsidR="00905067">
        <w:rPr>
          <w:rFonts w:ascii="Arial" w:hAnsi="Arial"/>
        </w:rPr>
        <w:t>stirá en la construcción de 33 k</w:t>
      </w:r>
      <w:r>
        <w:rPr>
          <w:rFonts w:ascii="Arial" w:hAnsi="Arial"/>
        </w:rPr>
        <w:t>it de viviendas de 50 m</w:t>
      </w:r>
      <w:r w:rsidRPr="00905067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del sistema constructivo NOX (ascendiendo el precio de cada kit de vivienda a la suma de US$ 260 el m</w:t>
      </w:r>
      <w:r w:rsidRPr="00905067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más IVA), pactándose que la entrega del precio se realizará en un plazo de hasta 180 días “desde la fecha”;</w:t>
      </w:r>
    </w:p>
    <w:p w:rsidR="00570424" w:rsidRDefault="00570424" w:rsidP="00905067">
      <w:pPr>
        <w:pStyle w:val="Textoindependiente"/>
        <w:tabs>
          <w:tab w:val="clear" w:pos="0"/>
          <w:tab w:val="clear" w:pos="720"/>
          <w:tab w:val="clear" w:pos="1440"/>
          <w:tab w:val="clear" w:pos="2160"/>
          <w:tab w:val="clear" w:pos="2448"/>
          <w:tab w:val="left" w:pos="-284"/>
        </w:tabs>
        <w:ind w:firstLine="283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9) </w:t>
      </w:r>
      <w:r>
        <w:rPr>
          <w:rFonts w:ascii="Arial" w:hAnsi="Arial"/>
        </w:rPr>
        <w:t xml:space="preserve">que por su parte, la Intendencia, se compromete a realizar las obras necesarias a efectos de dar cumplimiento a </w:t>
      </w:r>
      <w:r w:rsidR="00905067">
        <w:rPr>
          <w:rFonts w:ascii="Arial" w:hAnsi="Arial"/>
        </w:rPr>
        <w:t>los requisitos exigidos por la Ley Nº 17.547 y su D</w:t>
      </w:r>
      <w:r>
        <w:rPr>
          <w:rFonts w:ascii="Arial" w:hAnsi="Arial"/>
        </w:rPr>
        <w:t>ecreto reglamentario (red vial y su conexión a la red nacional</w:t>
      </w:r>
      <w:r w:rsidR="00FA2A29">
        <w:rPr>
          <w:rFonts w:ascii="Arial" w:hAnsi="Arial"/>
        </w:rPr>
        <w:t xml:space="preserve">, </w:t>
      </w:r>
      <w:r>
        <w:rPr>
          <w:rFonts w:ascii="Arial" w:hAnsi="Arial"/>
        </w:rPr>
        <w:t>canalización para el tendido de red eléctrica</w:t>
      </w:r>
      <w:r w:rsidR="00FA2A29">
        <w:rPr>
          <w:rFonts w:ascii="Arial" w:hAnsi="Arial"/>
        </w:rPr>
        <w:t>,</w:t>
      </w:r>
      <w:r>
        <w:rPr>
          <w:rFonts w:ascii="Arial" w:hAnsi="Arial"/>
        </w:rPr>
        <w:t xml:space="preserve"> red interna de telecomunica</w:t>
      </w:r>
      <w:r w:rsidR="00FA2A29">
        <w:rPr>
          <w:rFonts w:ascii="Arial" w:hAnsi="Arial"/>
        </w:rPr>
        <w:t>ciones y conexión a red general,</w:t>
      </w:r>
      <w:r>
        <w:rPr>
          <w:rFonts w:ascii="Arial" w:hAnsi="Arial"/>
        </w:rPr>
        <w:t xml:space="preserve"> infraestructura de pesaje de vehículos, etc</w:t>
      </w:r>
      <w:r w:rsidR="00905067">
        <w:rPr>
          <w:rFonts w:ascii="Arial" w:hAnsi="Arial"/>
        </w:rPr>
        <w:t>.</w:t>
      </w:r>
      <w:r>
        <w:rPr>
          <w:rFonts w:ascii="Arial" w:hAnsi="Arial"/>
        </w:rPr>
        <w:t>);</w:t>
      </w:r>
    </w:p>
    <w:p w:rsidR="00FF00C9" w:rsidRDefault="00570424" w:rsidP="00905067">
      <w:pPr>
        <w:pStyle w:val="Textoindependiente"/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CONSIDERANDO:</w:t>
      </w:r>
      <w:r w:rsidR="00FF00C9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1)</w:t>
      </w:r>
      <w:r w:rsidR="00905067">
        <w:rPr>
          <w:rFonts w:ascii="Arial" w:hAnsi="Arial"/>
        </w:rPr>
        <w:t xml:space="preserve"> que el Artículo</w:t>
      </w:r>
      <w:r>
        <w:rPr>
          <w:rFonts w:ascii="Arial" w:hAnsi="Arial"/>
        </w:rPr>
        <w:t xml:space="preserve"> 8 de la Ley Nº 17.547 de 22.08.2002 establece que los Gobiern</w:t>
      </w:r>
      <w:r w:rsidR="00905067">
        <w:rPr>
          <w:rFonts w:ascii="Arial" w:hAnsi="Arial"/>
        </w:rPr>
        <w:t>os Departamentales podrán por sí</w:t>
      </w:r>
      <w:r>
        <w:rPr>
          <w:rFonts w:ascii="Arial" w:hAnsi="Arial"/>
        </w:rPr>
        <w:t>, o asociados entre sí, instalar parques industriales en el</w:t>
      </w:r>
      <w:r w:rsidR="00905067">
        <w:rPr>
          <w:rFonts w:ascii="Arial" w:hAnsi="Arial"/>
        </w:rPr>
        <w:t xml:space="preserve"> territorio de su jurisdicción;</w:t>
      </w:r>
    </w:p>
    <w:p w:rsidR="00FF00C9" w:rsidRDefault="00570424" w:rsidP="00FF00C9">
      <w:pPr>
        <w:pStyle w:val="Textoindependiente"/>
        <w:ind w:firstLine="2977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2)</w:t>
      </w:r>
      <w:r>
        <w:rPr>
          <w:rFonts w:ascii="Arial" w:hAnsi="Arial"/>
        </w:rPr>
        <w:t xml:space="preserve"> que asimismo, en el </w:t>
      </w:r>
      <w:r w:rsidR="00FF00C9">
        <w:rPr>
          <w:rFonts w:ascii="Arial" w:hAnsi="Arial"/>
        </w:rPr>
        <w:t>Artículo</w:t>
      </w:r>
      <w:r>
        <w:rPr>
          <w:rFonts w:ascii="Arial" w:hAnsi="Arial"/>
        </w:rPr>
        <w:t xml:space="preserve"> 9 del Decr</w:t>
      </w:r>
      <w:r w:rsidR="00FF00C9">
        <w:rPr>
          <w:rFonts w:ascii="Arial" w:hAnsi="Arial"/>
        </w:rPr>
        <w:t>eto Reglamentario de la citada L</w:t>
      </w:r>
      <w:r>
        <w:rPr>
          <w:rFonts w:ascii="Arial" w:hAnsi="Arial"/>
        </w:rPr>
        <w:t xml:space="preserve">ey, se determinan las zonas de acuerdo con su contribución a la descentralización geográfica y a la utilización de mano de obra según un </w:t>
      </w:r>
      <w:r w:rsidR="00FA2A29">
        <w:rPr>
          <w:rFonts w:ascii="Arial" w:hAnsi="Arial"/>
        </w:rPr>
        <w:t>orden de prioridad, que, en la Z</w:t>
      </w:r>
      <w:r>
        <w:rPr>
          <w:rFonts w:ascii="Arial" w:hAnsi="Arial"/>
        </w:rPr>
        <w:t>ona Sur</w:t>
      </w:r>
      <w:r w:rsidR="00FA2A29">
        <w:rPr>
          <w:rFonts w:ascii="Arial" w:hAnsi="Arial"/>
        </w:rPr>
        <w:t>,</w:t>
      </w:r>
      <w:r>
        <w:rPr>
          <w:rFonts w:ascii="Arial" w:hAnsi="Arial"/>
        </w:rPr>
        <w:t xml:space="preserve"> incluye a Canelones (excluida zona Metropolitana);</w:t>
      </w:r>
      <w:r w:rsidR="00FA2A29">
        <w:rPr>
          <w:rFonts w:ascii="Arial" w:hAnsi="Arial"/>
        </w:rPr>
        <w:t xml:space="preserve"> </w:t>
      </w:r>
      <w:r w:rsidR="00FF00C9">
        <w:rPr>
          <w:rFonts w:ascii="Arial" w:hAnsi="Arial"/>
        </w:rPr>
        <w:t>por el Artículo</w:t>
      </w:r>
      <w:r>
        <w:rPr>
          <w:rFonts w:ascii="Arial" w:hAnsi="Arial"/>
        </w:rPr>
        <w:t xml:space="preserve"> 12 se declara promovida en el marco de la Ley 16.906, las actividades de los Gobiernos Departamentales que al amparo de la reglamentación instalen parques industriales dentro del territorio nacional;</w:t>
      </w:r>
    </w:p>
    <w:p w:rsidR="00FF00C9" w:rsidRDefault="00570424" w:rsidP="00FF00C9">
      <w:pPr>
        <w:pStyle w:val="Textoindependiente"/>
        <w:ind w:firstLine="2977"/>
        <w:rPr>
          <w:rFonts w:ascii="Arial" w:hAnsi="Arial"/>
        </w:rPr>
      </w:pPr>
      <w:r>
        <w:rPr>
          <w:rFonts w:ascii="Arial" w:hAnsi="Arial"/>
          <w:b/>
          <w:bCs/>
        </w:rPr>
        <w:t>3)</w:t>
      </w:r>
      <w:r>
        <w:rPr>
          <w:rFonts w:ascii="Arial" w:hAnsi="Arial"/>
        </w:rPr>
        <w:t xml:space="preserve"> que la actividad emprendida </w:t>
      </w:r>
      <w:r w:rsidR="00FA2A29">
        <w:rPr>
          <w:rFonts w:ascii="Arial" w:hAnsi="Arial"/>
        </w:rPr>
        <w:t>por la Intendencia de Canelones</w:t>
      </w:r>
      <w:r>
        <w:rPr>
          <w:rFonts w:ascii="Arial" w:hAnsi="Arial"/>
        </w:rPr>
        <w:t xml:space="preserve"> propende al desarrollo del Departamento utilizando para ello, medios legales y reglamentarios que habilitan la posibilidad de dicho desarrollo</w:t>
      </w:r>
      <w:r w:rsidR="00FA2A29">
        <w:rPr>
          <w:rFonts w:ascii="Arial" w:hAnsi="Arial"/>
        </w:rPr>
        <w:t xml:space="preserve">, por lo </w:t>
      </w:r>
      <w:r>
        <w:rPr>
          <w:rFonts w:ascii="Arial" w:hAnsi="Arial"/>
        </w:rPr>
        <w:t>que no se formulan objeciones de índole jurídico al llamado a interesados a instalarse en el futuro Parque Indust</w:t>
      </w:r>
      <w:r w:rsidR="00FF00C9">
        <w:rPr>
          <w:rFonts w:ascii="Arial" w:hAnsi="Arial"/>
        </w:rPr>
        <w:t>rial de Pando en los Padrones Nos.</w:t>
      </w:r>
      <w:r>
        <w:rPr>
          <w:rFonts w:ascii="Arial" w:hAnsi="Arial"/>
        </w:rPr>
        <w:t xml:space="preserve"> 5.161, 5.162, 5.160, 5.165 y 5.164;</w:t>
      </w:r>
    </w:p>
    <w:p w:rsidR="00FF00C9" w:rsidRDefault="007750EB" w:rsidP="00FF00C9">
      <w:pPr>
        <w:pStyle w:val="Textoindependiente"/>
        <w:ind w:firstLine="2977"/>
        <w:rPr>
          <w:rFonts w:ascii="Arial" w:hAnsi="Arial"/>
        </w:rPr>
      </w:pPr>
      <w:r w:rsidRPr="00FF00C9">
        <w:rPr>
          <w:rFonts w:ascii="Arial" w:hAnsi="Arial"/>
          <w:b/>
        </w:rPr>
        <w:t>4</w:t>
      </w:r>
      <w:r w:rsidR="00570424">
        <w:rPr>
          <w:rFonts w:ascii="Arial" w:hAnsi="Arial"/>
          <w:b/>
          <w:bCs/>
        </w:rPr>
        <w:t>)</w:t>
      </w:r>
      <w:r w:rsidR="00570424">
        <w:rPr>
          <w:rFonts w:ascii="Arial" w:hAnsi="Arial"/>
        </w:rPr>
        <w:t xml:space="preserve"> que</w:t>
      </w:r>
      <w:r w:rsidR="00FA2A29">
        <w:rPr>
          <w:rFonts w:ascii="Arial" w:hAnsi="Arial"/>
        </w:rPr>
        <w:t xml:space="preserve"> no obstante</w:t>
      </w:r>
      <w:r w:rsidR="00FF00C9">
        <w:rPr>
          <w:rFonts w:ascii="Arial" w:hAnsi="Arial"/>
        </w:rPr>
        <w:t xml:space="preserve"> el Inciso 2) del Artículo 37 de la L</w:t>
      </w:r>
      <w:r w:rsidR="00570424">
        <w:rPr>
          <w:rFonts w:ascii="Arial" w:hAnsi="Arial"/>
        </w:rPr>
        <w:t xml:space="preserve">ey </w:t>
      </w:r>
      <w:r w:rsidR="00FA2A29">
        <w:rPr>
          <w:rFonts w:ascii="Arial" w:hAnsi="Arial"/>
        </w:rPr>
        <w:t xml:space="preserve">Nº </w:t>
      </w:r>
      <w:r w:rsidR="00570424">
        <w:rPr>
          <w:rFonts w:ascii="Arial" w:hAnsi="Arial"/>
        </w:rPr>
        <w:t>9.515 dispone que el</w:t>
      </w:r>
      <w:r w:rsidR="00FF00C9">
        <w:rPr>
          <w:rFonts w:ascii="Arial" w:hAnsi="Arial"/>
        </w:rPr>
        <w:t xml:space="preserve"> Intendente só</w:t>
      </w:r>
      <w:r w:rsidR="00570424">
        <w:rPr>
          <w:rFonts w:ascii="Arial" w:hAnsi="Arial"/>
        </w:rPr>
        <w:t>lo podrá enajenar o gravar bienes departamentales “con la previa autorización de los dos tercios de votos de los miembros de la Junta Departamental”</w:t>
      </w:r>
      <w:r w:rsidR="00FA2A29">
        <w:rPr>
          <w:rFonts w:ascii="Arial" w:hAnsi="Arial"/>
        </w:rPr>
        <w:t>;</w:t>
      </w:r>
    </w:p>
    <w:p w:rsidR="00570424" w:rsidRDefault="007750EB" w:rsidP="00FF00C9">
      <w:pPr>
        <w:pStyle w:val="Textoindependiente"/>
        <w:ind w:firstLine="2977"/>
        <w:rPr>
          <w:rFonts w:ascii="Arial" w:hAnsi="Arial"/>
        </w:rPr>
      </w:pPr>
      <w:r>
        <w:rPr>
          <w:rFonts w:ascii="Arial" w:hAnsi="Arial"/>
          <w:b/>
        </w:rPr>
        <w:t>5</w:t>
      </w:r>
      <w:r w:rsidR="00FA2A29" w:rsidRPr="00B126E1">
        <w:rPr>
          <w:rFonts w:ascii="Arial" w:hAnsi="Arial"/>
          <w:b/>
        </w:rPr>
        <w:t>)</w:t>
      </w:r>
      <w:r w:rsidR="00FA2A29">
        <w:rPr>
          <w:rFonts w:ascii="Arial" w:hAnsi="Arial"/>
        </w:rPr>
        <w:t xml:space="preserve"> que en consecuencia, </w:t>
      </w:r>
      <w:r w:rsidR="00FF00C9">
        <w:rPr>
          <w:rFonts w:ascii="Arial" w:hAnsi="Arial"/>
        </w:rPr>
        <w:t>tal como se establece en la R</w:t>
      </w:r>
      <w:r w:rsidR="00570424">
        <w:rPr>
          <w:rFonts w:ascii="Arial" w:hAnsi="Arial"/>
        </w:rPr>
        <w:t>esolución de este Tribunal de fecha 15.08.12 (Res</w:t>
      </w:r>
      <w:r w:rsidR="00FA2A29">
        <w:rPr>
          <w:rFonts w:ascii="Arial" w:hAnsi="Arial"/>
        </w:rPr>
        <w:t xml:space="preserve">ultando </w:t>
      </w:r>
      <w:r w:rsidR="00570424">
        <w:rPr>
          <w:rFonts w:ascii="Arial" w:hAnsi="Arial"/>
        </w:rPr>
        <w:t xml:space="preserve">6 </w:t>
      </w:r>
      <w:r w:rsidR="00FA2A29">
        <w:rPr>
          <w:rFonts w:ascii="Arial" w:hAnsi="Arial"/>
        </w:rPr>
        <w:t xml:space="preserve">letra </w:t>
      </w:r>
      <w:r w:rsidR="00570424">
        <w:rPr>
          <w:rFonts w:ascii="Arial" w:hAnsi="Arial"/>
        </w:rPr>
        <w:t xml:space="preserve">e) la autorización a que refiere el </w:t>
      </w:r>
      <w:r w:rsidR="00FA2A29">
        <w:rPr>
          <w:rFonts w:ascii="Arial" w:hAnsi="Arial"/>
        </w:rPr>
        <w:t>referido</w:t>
      </w:r>
      <w:r w:rsidR="00FF00C9">
        <w:rPr>
          <w:rFonts w:ascii="Arial" w:hAnsi="Arial"/>
        </w:rPr>
        <w:t xml:space="preserve"> A</w:t>
      </w:r>
      <w:r w:rsidR="00570424">
        <w:rPr>
          <w:rFonts w:ascii="Arial" w:hAnsi="Arial"/>
        </w:rPr>
        <w:t>rtículo</w:t>
      </w:r>
      <w:r w:rsidR="00FF00C9">
        <w:rPr>
          <w:rFonts w:ascii="Arial" w:hAnsi="Arial"/>
        </w:rPr>
        <w:t xml:space="preserve"> de la L</w:t>
      </w:r>
      <w:r w:rsidR="00FA2A29">
        <w:rPr>
          <w:rFonts w:ascii="Arial" w:hAnsi="Arial"/>
        </w:rPr>
        <w:t>ey Nº 9.515</w:t>
      </w:r>
      <w:r w:rsidR="00570424">
        <w:rPr>
          <w:rFonts w:ascii="Arial" w:hAnsi="Arial"/>
        </w:rPr>
        <w:t>, debe ser concreta y referida a cada una de las operaciones que se realicen con cada inmueble</w:t>
      </w:r>
      <w:r w:rsidR="00B126E1">
        <w:rPr>
          <w:rFonts w:ascii="Arial" w:hAnsi="Arial"/>
        </w:rPr>
        <w:t>. Por lo que</w:t>
      </w:r>
      <w:r w:rsidR="00FF00C9">
        <w:rPr>
          <w:rFonts w:ascii="Arial" w:hAnsi="Arial"/>
        </w:rPr>
        <w:t>,</w:t>
      </w:r>
      <w:r w:rsidR="00B126E1">
        <w:rPr>
          <w:rFonts w:ascii="Arial" w:hAnsi="Arial"/>
        </w:rPr>
        <w:t xml:space="preserve"> </w:t>
      </w:r>
      <w:r w:rsidR="00570424">
        <w:rPr>
          <w:rFonts w:ascii="Arial" w:hAnsi="Arial"/>
        </w:rPr>
        <w:t>en la especie, no resulta ajustada a derecho, una autorización genérica otorgada dos años antes</w:t>
      </w:r>
      <w:r w:rsidR="00B126E1">
        <w:rPr>
          <w:rFonts w:ascii="Arial" w:hAnsi="Arial"/>
        </w:rPr>
        <w:t xml:space="preserve"> de la venta que se proyecta en esta oportunidad</w:t>
      </w:r>
      <w:r w:rsidR="00570424">
        <w:rPr>
          <w:rFonts w:ascii="Arial" w:hAnsi="Arial"/>
        </w:rPr>
        <w:t>;</w:t>
      </w:r>
    </w:p>
    <w:p w:rsidR="00570424" w:rsidRDefault="00570424" w:rsidP="00FF00C9">
      <w:pPr>
        <w:pStyle w:val="Textoindependiente"/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ATENTO</w:t>
      </w:r>
      <w:r w:rsidR="00FF00C9"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a lo precedentemente expuesto</w:t>
      </w:r>
      <w:r w:rsidR="00FF00C9">
        <w:rPr>
          <w:rFonts w:ascii="Arial" w:hAnsi="Arial"/>
        </w:rPr>
        <w:t xml:space="preserve"> y a lo dispuesto por el Artículo 211 L</w:t>
      </w:r>
      <w:r w:rsidR="00E6025A">
        <w:rPr>
          <w:rFonts w:ascii="Arial" w:hAnsi="Arial"/>
        </w:rPr>
        <w:t>iteral E</w:t>
      </w:r>
      <w:r w:rsidR="00FF00C9">
        <w:rPr>
          <w:rFonts w:ascii="Arial" w:hAnsi="Arial"/>
        </w:rPr>
        <w:t>)</w:t>
      </w:r>
      <w:r w:rsidR="00E6025A">
        <w:rPr>
          <w:rFonts w:ascii="Arial" w:hAnsi="Arial"/>
        </w:rPr>
        <w:t xml:space="preserve"> de la Constitución de la República</w:t>
      </w:r>
      <w:r>
        <w:rPr>
          <w:rFonts w:ascii="Arial" w:hAnsi="Arial"/>
        </w:rPr>
        <w:t>;</w:t>
      </w:r>
    </w:p>
    <w:p w:rsidR="00570424" w:rsidRDefault="00570424">
      <w:pPr>
        <w:pStyle w:val="Textoindependiente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EL TRIBUNAL ACUERDA</w:t>
      </w:r>
    </w:p>
    <w:p w:rsidR="00570424" w:rsidRDefault="00570424">
      <w:pPr>
        <w:pStyle w:val="Textoindependiente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Observar la </w:t>
      </w:r>
      <w:r w:rsidR="00B126E1">
        <w:rPr>
          <w:rFonts w:ascii="Arial" w:hAnsi="Arial"/>
        </w:rPr>
        <w:t>enajenación</w:t>
      </w:r>
      <w:r>
        <w:rPr>
          <w:rFonts w:ascii="Arial" w:hAnsi="Arial"/>
        </w:rPr>
        <w:t xml:space="preserve"> </w:t>
      </w:r>
      <w:r w:rsidR="00EC755D">
        <w:rPr>
          <w:rFonts w:ascii="Arial" w:hAnsi="Arial"/>
        </w:rPr>
        <w:t>propuesta</w:t>
      </w:r>
      <w:r>
        <w:rPr>
          <w:rFonts w:ascii="Arial" w:hAnsi="Arial"/>
        </w:rPr>
        <w:t xml:space="preserve"> a la empresa UR S.A. por lo expresado en los Considerandos</w:t>
      </w:r>
      <w:r w:rsidR="00B126E1">
        <w:rPr>
          <w:rFonts w:ascii="Arial" w:hAnsi="Arial"/>
        </w:rPr>
        <w:t xml:space="preserve"> </w:t>
      </w:r>
      <w:r w:rsidR="00E6025A">
        <w:rPr>
          <w:rFonts w:ascii="Arial" w:hAnsi="Arial"/>
        </w:rPr>
        <w:t>4</w:t>
      </w:r>
      <w:r w:rsidR="00FF00C9">
        <w:rPr>
          <w:rFonts w:ascii="Arial" w:hAnsi="Arial"/>
        </w:rPr>
        <w:t>)</w:t>
      </w:r>
      <w:r w:rsidR="00E6025A">
        <w:rPr>
          <w:rFonts w:ascii="Arial" w:hAnsi="Arial"/>
        </w:rPr>
        <w:t xml:space="preserve"> y </w:t>
      </w:r>
      <w:r w:rsidR="00B126E1">
        <w:rPr>
          <w:rFonts w:ascii="Arial" w:hAnsi="Arial"/>
        </w:rPr>
        <w:t>5</w:t>
      </w:r>
      <w:r w:rsidR="00FF00C9">
        <w:rPr>
          <w:rFonts w:ascii="Arial" w:hAnsi="Arial"/>
        </w:rPr>
        <w:t>)</w:t>
      </w:r>
      <w:r w:rsidR="00E6025A">
        <w:rPr>
          <w:rFonts w:ascii="Arial" w:hAnsi="Arial"/>
        </w:rPr>
        <w:t xml:space="preserve"> de la presente </w:t>
      </w:r>
      <w:r w:rsidR="00FF00C9">
        <w:rPr>
          <w:rFonts w:ascii="Arial" w:hAnsi="Arial"/>
        </w:rPr>
        <w:t>R</w:t>
      </w:r>
      <w:r w:rsidR="00E6025A">
        <w:rPr>
          <w:rFonts w:ascii="Arial" w:hAnsi="Arial"/>
        </w:rPr>
        <w:t>esolución</w:t>
      </w:r>
      <w:r>
        <w:rPr>
          <w:rFonts w:ascii="Arial" w:hAnsi="Arial"/>
        </w:rPr>
        <w:t>;</w:t>
      </w:r>
    </w:p>
    <w:p w:rsidR="00570424" w:rsidRDefault="00570424">
      <w:pPr>
        <w:pStyle w:val="Textoindependiente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Comunicar la presente Resolución al </w:t>
      </w:r>
      <w:r w:rsidR="00FF00C9">
        <w:rPr>
          <w:rFonts w:ascii="Arial" w:hAnsi="Arial"/>
        </w:rPr>
        <w:t xml:space="preserve">Contador Delegado en la Intendencia </w:t>
      </w:r>
      <w:r w:rsidR="00FF00C9">
        <w:rPr>
          <w:rFonts w:ascii="Arial" w:hAnsi="Arial"/>
        </w:rPr>
        <w:lastRenderedPageBreak/>
        <w:t>de Canelones;</w:t>
      </w:r>
      <w:r>
        <w:rPr>
          <w:rFonts w:ascii="Arial" w:hAnsi="Arial"/>
        </w:rPr>
        <w:t xml:space="preserve">  </w:t>
      </w:r>
    </w:p>
    <w:p w:rsidR="00E6025A" w:rsidRDefault="00E6025A" w:rsidP="00E6025A">
      <w:pPr>
        <w:pStyle w:val="Textoindependiente"/>
        <w:numPr>
          <w:ilvl w:val="0"/>
          <w:numId w:val="19"/>
        </w:numPr>
        <w:rPr>
          <w:rFonts w:ascii="Arial" w:hAnsi="Arial"/>
        </w:rPr>
      </w:pPr>
      <w:r w:rsidRPr="00E6025A">
        <w:rPr>
          <w:rFonts w:ascii="Arial" w:hAnsi="Arial"/>
        </w:rPr>
        <w:t>Dar cuenta a la Junta Departamental;</w:t>
      </w:r>
      <w:r>
        <w:rPr>
          <w:rFonts w:ascii="Arial" w:hAnsi="Arial"/>
        </w:rPr>
        <w:t xml:space="preserve"> y</w:t>
      </w:r>
    </w:p>
    <w:p w:rsidR="00570424" w:rsidRDefault="00570424" w:rsidP="00E6025A">
      <w:pPr>
        <w:pStyle w:val="Textoindependiente"/>
        <w:numPr>
          <w:ilvl w:val="0"/>
          <w:numId w:val="19"/>
        </w:numPr>
        <w:rPr>
          <w:rFonts w:ascii="Arial" w:hAnsi="Arial"/>
        </w:rPr>
      </w:pPr>
      <w:r w:rsidRPr="00E6025A">
        <w:rPr>
          <w:rFonts w:ascii="Arial" w:hAnsi="Arial"/>
        </w:rPr>
        <w:t xml:space="preserve">Devolver las actuaciones. </w:t>
      </w:r>
    </w:p>
    <w:p w:rsidR="00FF00C9" w:rsidRDefault="00FF00C9" w:rsidP="00FF00C9">
      <w:pPr>
        <w:pStyle w:val="Textoindependiente"/>
        <w:rPr>
          <w:rFonts w:ascii="Arial" w:hAnsi="Arial"/>
        </w:rPr>
      </w:pPr>
    </w:p>
    <w:p w:rsidR="00FF00C9" w:rsidRDefault="00FF00C9" w:rsidP="00FF00C9">
      <w:pPr>
        <w:pStyle w:val="Textoindependiente"/>
        <w:rPr>
          <w:rFonts w:ascii="Arial" w:hAnsi="Arial"/>
        </w:rPr>
      </w:pPr>
    </w:p>
    <w:p w:rsidR="00FF00C9" w:rsidRDefault="00FF00C9" w:rsidP="00FF00C9">
      <w:pPr>
        <w:pStyle w:val="Textoindependiente"/>
        <w:rPr>
          <w:rFonts w:ascii="Arial" w:hAnsi="Arial"/>
        </w:rPr>
      </w:pPr>
    </w:p>
    <w:p w:rsidR="00FF00C9" w:rsidRDefault="00FF00C9" w:rsidP="00FF00C9">
      <w:pPr>
        <w:pStyle w:val="Textoindependiente"/>
        <w:rPr>
          <w:rFonts w:ascii="Arial" w:hAnsi="Arial"/>
        </w:rPr>
      </w:pPr>
    </w:p>
    <w:p w:rsidR="00FF00C9" w:rsidRPr="00E6025A" w:rsidRDefault="00FF00C9" w:rsidP="00FF00C9">
      <w:pPr>
        <w:pStyle w:val="Textoindependiente"/>
        <w:ind w:hanging="567"/>
        <w:rPr>
          <w:rFonts w:ascii="Arial" w:hAnsi="Arial"/>
        </w:rPr>
      </w:pPr>
      <w:r>
        <w:rPr>
          <w:rFonts w:ascii="Arial" w:hAnsi="Arial"/>
        </w:rPr>
        <w:t>dc</w:t>
      </w:r>
    </w:p>
    <w:sectPr w:rsidR="00FF00C9" w:rsidRPr="00E6025A" w:rsidSect="00FF00C9">
      <w:footerReference w:type="even" r:id="rId8"/>
      <w:footerReference w:type="default" r:id="rId9"/>
      <w:endnotePr>
        <w:numFmt w:val="decimal"/>
      </w:endnotePr>
      <w:pgSz w:w="11907" w:h="16840" w:code="9"/>
      <w:pgMar w:top="3119" w:right="1701" w:bottom="1418" w:left="1701" w:header="680" w:footer="68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83" w:rsidRDefault="004F3083">
      <w:pPr>
        <w:widowControl/>
        <w:spacing w:line="20" w:lineRule="exact"/>
      </w:pPr>
    </w:p>
  </w:endnote>
  <w:endnote w:type="continuationSeparator" w:id="0">
    <w:p w:rsidR="004F3083" w:rsidRDefault="004F3083">
      <w:r>
        <w:t xml:space="preserve"> </w:t>
      </w:r>
    </w:p>
  </w:endnote>
  <w:endnote w:type="continuationNotice" w:id="1">
    <w:p w:rsidR="004F3083" w:rsidRDefault="004F30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4B" w:rsidRDefault="00A6244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244B" w:rsidRDefault="00A624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4B" w:rsidRDefault="00A6244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00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6244B" w:rsidRDefault="00A624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83" w:rsidRDefault="004F3083">
      <w:r>
        <w:separator/>
      </w:r>
    </w:p>
  </w:footnote>
  <w:footnote w:type="continuationSeparator" w:id="0">
    <w:p w:rsidR="004F3083" w:rsidRDefault="004F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F4"/>
    <w:multiLevelType w:val="multilevel"/>
    <w:tmpl w:val="D64011E4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1BB1E14"/>
    <w:multiLevelType w:val="multilevel"/>
    <w:tmpl w:val="268AEA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640A21"/>
    <w:multiLevelType w:val="multilevel"/>
    <w:tmpl w:val="828250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24"/>
        </w:tabs>
        <w:ind w:left="152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">
    <w:nsid w:val="0B4B6810"/>
    <w:multiLevelType w:val="multilevel"/>
    <w:tmpl w:val="0B1467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1EF4313D"/>
    <w:multiLevelType w:val="multilevel"/>
    <w:tmpl w:val="6B26F0D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0465818"/>
    <w:multiLevelType w:val="hybridMultilevel"/>
    <w:tmpl w:val="60701D42"/>
    <w:lvl w:ilvl="0" w:tplc="F0860F6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1EE654E"/>
    <w:multiLevelType w:val="hybridMultilevel"/>
    <w:tmpl w:val="FBF80B62"/>
    <w:lvl w:ilvl="0" w:tplc="1AC42BC6">
      <w:start w:val="4"/>
      <w:numFmt w:val="decimal"/>
      <w:lvlText w:val="%1)"/>
      <w:lvlJc w:val="left"/>
      <w:pPr>
        <w:ind w:left="927" w:hanging="360"/>
      </w:pPr>
      <w:rPr>
        <w:rFonts w:eastAsia="Times New Roman" w:cs="Arial" w:hint="default"/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43DD5"/>
    <w:multiLevelType w:val="multilevel"/>
    <w:tmpl w:val="9D009FC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145125"/>
    <w:multiLevelType w:val="multilevel"/>
    <w:tmpl w:val="15ACE62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9"/>
      <w:numFmt w:val="decimal"/>
      <w:lvlText w:val="%2.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3033E7F"/>
    <w:multiLevelType w:val="multilevel"/>
    <w:tmpl w:val="833026F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3CD4480D"/>
    <w:multiLevelType w:val="multilevel"/>
    <w:tmpl w:val="A04894F2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AF3D9C"/>
    <w:multiLevelType w:val="multilevel"/>
    <w:tmpl w:val="725EFC9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47611006"/>
    <w:multiLevelType w:val="multilevel"/>
    <w:tmpl w:val="C6D4324C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4A335DE2"/>
    <w:multiLevelType w:val="multilevel"/>
    <w:tmpl w:val="6A86FB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4C713D7F"/>
    <w:multiLevelType w:val="hybridMultilevel"/>
    <w:tmpl w:val="17EACEF0"/>
    <w:lvl w:ilvl="0" w:tplc="392E1D24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7492A8B6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84E69"/>
    <w:multiLevelType w:val="multilevel"/>
    <w:tmpl w:val="C81C79A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4DBF7010"/>
    <w:multiLevelType w:val="multilevel"/>
    <w:tmpl w:val="E15E761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EF2701C"/>
    <w:multiLevelType w:val="multilevel"/>
    <w:tmpl w:val="4CCE0490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F27285E"/>
    <w:multiLevelType w:val="hybridMultilevel"/>
    <w:tmpl w:val="FB3A99F2"/>
    <w:lvl w:ilvl="0" w:tplc="C2E2F3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5C24B3"/>
    <w:multiLevelType w:val="multilevel"/>
    <w:tmpl w:val="36C0C95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AE51258"/>
    <w:multiLevelType w:val="multilevel"/>
    <w:tmpl w:val="C0F64C38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732F1DBB"/>
    <w:multiLevelType w:val="hybridMultilevel"/>
    <w:tmpl w:val="40824B0C"/>
    <w:lvl w:ilvl="0" w:tplc="9A62239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rial" w:eastAsia="Times New Roman" w:hAnsi="Arial" w:cs="Arial"/>
        <w:b/>
      </w:rPr>
    </w:lvl>
    <w:lvl w:ilvl="1" w:tplc="583C53D0">
      <w:start w:val="1"/>
      <w:numFmt w:val="lowerLetter"/>
      <w:lvlText w:val="%2)"/>
      <w:lvlJc w:val="left"/>
      <w:pPr>
        <w:tabs>
          <w:tab w:val="num" w:pos="927"/>
        </w:tabs>
        <w:ind w:left="907" w:hanging="340"/>
      </w:pPr>
      <w:rPr>
        <w:rFonts w:ascii="Arial" w:eastAsia="Batang" w:hAnsi="Arial" w:cs="Times New Roman"/>
        <w:b/>
      </w:rPr>
    </w:lvl>
    <w:lvl w:ilvl="2" w:tplc="CDF25732">
      <w:start w:val="1"/>
      <w:numFmt w:val="lowerLetter"/>
      <w:lvlText w:val="%3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D603AA"/>
    <w:multiLevelType w:val="hybridMultilevel"/>
    <w:tmpl w:val="68587676"/>
    <w:lvl w:ilvl="0" w:tplc="F20445C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7D266B22"/>
    <w:multiLevelType w:val="multilevel"/>
    <w:tmpl w:val="833E523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0"/>
  </w:num>
  <w:num w:numId="5">
    <w:abstractNumId w:val="15"/>
  </w:num>
  <w:num w:numId="6">
    <w:abstractNumId w:val="23"/>
  </w:num>
  <w:num w:numId="7">
    <w:abstractNumId w:val="19"/>
  </w:num>
  <w:num w:numId="8">
    <w:abstractNumId w:val="7"/>
  </w:num>
  <w:num w:numId="9">
    <w:abstractNumId w:val="18"/>
  </w:num>
  <w:num w:numId="10">
    <w:abstractNumId w:val="16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  <w:num w:numId="15">
    <w:abstractNumId w:val="8"/>
  </w:num>
  <w:num w:numId="16">
    <w:abstractNumId w:val="13"/>
  </w:num>
  <w:num w:numId="17">
    <w:abstractNumId w:val="1"/>
  </w:num>
  <w:num w:numId="18">
    <w:abstractNumId w:val="3"/>
  </w:num>
  <w:num w:numId="19">
    <w:abstractNumId w:val="5"/>
  </w:num>
  <w:num w:numId="20">
    <w:abstractNumId w:val="10"/>
  </w:num>
  <w:num w:numId="21">
    <w:abstractNumId w:val="22"/>
  </w:num>
  <w:num w:numId="22">
    <w:abstractNumId w:val="21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9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24"/>
    <w:rsid w:val="00146373"/>
    <w:rsid w:val="001B609D"/>
    <w:rsid w:val="003D44F6"/>
    <w:rsid w:val="003D5906"/>
    <w:rsid w:val="004F3083"/>
    <w:rsid w:val="00570424"/>
    <w:rsid w:val="005B30EE"/>
    <w:rsid w:val="00757E87"/>
    <w:rsid w:val="007750EB"/>
    <w:rsid w:val="00905067"/>
    <w:rsid w:val="009E32F2"/>
    <w:rsid w:val="00A6244B"/>
    <w:rsid w:val="00B126E1"/>
    <w:rsid w:val="00E6025A"/>
    <w:rsid w:val="00EC755D"/>
    <w:rsid w:val="00EC7E0D"/>
    <w:rsid w:val="00FA2A29"/>
    <w:rsid w:val="00FB6B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4478"/>
      </w:tabs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48"/>
        <w:tab w:val="left" w:pos="6480"/>
        <w:tab w:val="left" w:pos="7920"/>
      </w:tabs>
      <w:suppressAutoHyphens/>
      <w:spacing w:line="360" w:lineRule="auto"/>
      <w:jc w:val="both"/>
    </w:pPr>
    <w:rPr>
      <w:rFonts w:ascii="Bookman Old Style" w:hAnsi="Bookman Old Style"/>
      <w:spacing w:val="-3"/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paragraph" w:styleId="Sangradetextonormal">
    <w:name w:val="Body Text Indent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48"/>
        <w:tab w:val="left" w:pos="6480"/>
        <w:tab w:val="left" w:pos="7920"/>
      </w:tabs>
      <w:suppressAutoHyphens/>
      <w:spacing w:line="360" w:lineRule="auto"/>
      <w:ind w:firstLine="1134"/>
      <w:jc w:val="both"/>
    </w:pPr>
    <w:rPr>
      <w:rFonts w:ascii="Bookman Old Style" w:hAnsi="Bookman Old Style"/>
      <w:spacing w:val="-3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spacing w:line="360" w:lineRule="auto"/>
      <w:ind w:left="567"/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1B6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4478"/>
      </w:tabs>
      <w:suppressAutoHyphens/>
      <w:spacing w:line="360" w:lineRule="auto"/>
      <w:jc w:val="both"/>
      <w:outlineLvl w:val="0"/>
    </w:pPr>
    <w:rPr>
      <w:rFonts w:ascii="Bookman Old Style" w:hAnsi="Bookman Old Style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</w:style>
  <w:style w:type="character" w:customStyle="1" w:styleId="EquationCaption">
    <w:name w:val="_Equation Caption"/>
  </w:style>
  <w:style w:type="paragraph" w:styleId="Textoindependiente">
    <w:name w:val="Body Text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48"/>
        <w:tab w:val="left" w:pos="6480"/>
        <w:tab w:val="left" w:pos="7920"/>
      </w:tabs>
      <w:suppressAutoHyphens/>
      <w:spacing w:line="360" w:lineRule="auto"/>
      <w:jc w:val="both"/>
    </w:pPr>
    <w:rPr>
      <w:rFonts w:ascii="Bookman Old Style" w:hAnsi="Bookman Old Style"/>
      <w:spacing w:val="-3"/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paragraph" w:styleId="Sangradetextonormal">
    <w:name w:val="Body Text Indent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48"/>
        <w:tab w:val="left" w:pos="6480"/>
        <w:tab w:val="left" w:pos="7920"/>
      </w:tabs>
      <w:suppressAutoHyphens/>
      <w:spacing w:line="360" w:lineRule="auto"/>
      <w:ind w:firstLine="1134"/>
      <w:jc w:val="both"/>
    </w:pPr>
    <w:rPr>
      <w:rFonts w:ascii="Bookman Old Style" w:hAnsi="Bookman Old Style"/>
      <w:spacing w:val="-3"/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2detindependiente">
    <w:name w:val="Body Text Indent 2"/>
    <w:basedOn w:val="Normal"/>
    <w:semiHidden/>
    <w:pPr>
      <w:spacing w:line="360" w:lineRule="auto"/>
      <w:ind w:left="567"/>
      <w:jc w:val="both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1B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6289</Characters>
  <Application>Microsoft Office Word</Application>
  <DocSecurity>4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183412      Entrada Nº 1326 del 14</vt:lpstr>
    </vt:vector>
  </TitlesOfParts>
  <Company>TRIBUNAL DE CUENTAS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183412      Entrada Nº 1326 del 14</dc:title>
  <dc:creator>TRIBUNAL DE CUENTAS</dc:creator>
  <cp:lastModifiedBy>Daniela Castro</cp:lastModifiedBy>
  <cp:revision>2</cp:revision>
  <cp:lastPrinted>2014-08-18T23:29:00Z</cp:lastPrinted>
  <dcterms:created xsi:type="dcterms:W3CDTF">2014-09-08T19:51:00Z</dcterms:created>
  <dcterms:modified xsi:type="dcterms:W3CDTF">2014-09-08T19:51:00Z</dcterms:modified>
</cp:coreProperties>
</file>