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5B" w:rsidRDefault="007C505B" w:rsidP="007C505B">
      <w:pPr>
        <w:pStyle w:val="Ttulo2"/>
        <w:jc w:val="left"/>
        <w:rPr>
          <w:szCs w:val="24"/>
          <w:lang w:val="es-UY"/>
        </w:rPr>
      </w:pPr>
    </w:p>
    <w:p w:rsidR="000B36F5" w:rsidRPr="00C77735" w:rsidRDefault="000B36F5" w:rsidP="000B36F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 w:val="24"/>
          <w:szCs w:val="24"/>
          <w:lang w:val="es-ES_tradnl"/>
        </w:rPr>
      </w:pPr>
      <w:r w:rsidRPr="00C77735">
        <w:rPr>
          <w:rFonts w:cs="Arial"/>
          <w:b/>
          <w:sz w:val="24"/>
          <w:szCs w:val="24"/>
          <w:lang w:val="es-ES_tradnl"/>
        </w:rPr>
        <w:t>RESOLUCION ADOPTADA POR EL</w:t>
      </w:r>
    </w:p>
    <w:p w:rsidR="000B36F5" w:rsidRPr="00C77735" w:rsidRDefault="000B36F5" w:rsidP="000B36F5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sz w:val="24"/>
          <w:szCs w:val="24"/>
          <w:lang w:val="es-ES_tradnl"/>
        </w:rPr>
      </w:pPr>
    </w:p>
    <w:p w:rsidR="000B36F5" w:rsidRPr="00C77735" w:rsidRDefault="000B36F5" w:rsidP="000B36F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 w:val="24"/>
          <w:szCs w:val="24"/>
          <w:lang w:val="es-ES_tradnl"/>
        </w:rPr>
      </w:pPr>
      <w:r w:rsidRPr="00C77735">
        <w:rPr>
          <w:rFonts w:cs="Arial"/>
          <w:b/>
          <w:sz w:val="24"/>
          <w:szCs w:val="24"/>
          <w:lang w:val="es-ES_tradnl"/>
        </w:rPr>
        <w:t>TRIBUNAL DE CUENTAS</w:t>
      </w:r>
    </w:p>
    <w:p w:rsidR="000B36F5" w:rsidRPr="00C77735" w:rsidRDefault="000B36F5" w:rsidP="000B36F5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sz w:val="24"/>
          <w:szCs w:val="24"/>
          <w:lang w:val="es-ES_tradnl"/>
        </w:rPr>
      </w:pPr>
    </w:p>
    <w:p w:rsidR="000B36F5" w:rsidRPr="00C77735" w:rsidRDefault="000B36F5" w:rsidP="000B36F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 w:val="24"/>
          <w:szCs w:val="24"/>
          <w:lang w:val="es-ES_tradnl"/>
        </w:rPr>
      </w:pPr>
      <w:r w:rsidRPr="00C77735">
        <w:rPr>
          <w:rFonts w:cs="Arial"/>
          <w:b/>
          <w:sz w:val="24"/>
          <w:szCs w:val="24"/>
          <w:lang w:val="es-ES_tradnl"/>
        </w:rPr>
        <w:t>EN SESION DE FECHA 28 DE AGOSTO DE 2014</w:t>
      </w:r>
    </w:p>
    <w:p w:rsidR="000B36F5" w:rsidRPr="00C77735" w:rsidRDefault="000B36F5" w:rsidP="000B36F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 w:val="24"/>
          <w:szCs w:val="24"/>
          <w:lang w:val="es-ES_tradnl"/>
        </w:rPr>
      </w:pPr>
    </w:p>
    <w:p w:rsidR="007C505B" w:rsidRPr="000B36F5" w:rsidRDefault="000B36F5" w:rsidP="000B36F5">
      <w:pPr>
        <w:pStyle w:val="Ttulo"/>
        <w:rPr>
          <w:rFonts w:cs="Arial"/>
          <w:u w:val="none"/>
          <w:lang w:val="es-ES_tradnl"/>
        </w:rPr>
      </w:pPr>
      <w:r w:rsidRPr="000B36F5">
        <w:rPr>
          <w:rFonts w:cs="Arial"/>
          <w:u w:val="none"/>
          <w:lang w:val="es-ES_tradnl"/>
        </w:rPr>
        <w:t xml:space="preserve">(E. E. Nº 2013-17-1-0002103, </w:t>
      </w:r>
      <w:proofErr w:type="spellStart"/>
      <w:r w:rsidRPr="000B36F5">
        <w:rPr>
          <w:rFonts w:cs="Arial"/>
          <w:u w:val="none"/>
          <w:lang w:val="es-ES_tradnl"/>
        </w:rPr>
        <w:t>Ent</w:t>
      </w:r>
      <w:proofErr w:type="spellEnd"/>
      <w:r w:rsidRPr="000B36F5">
        <w:rPr>
          <w:rFonts w:cs="Arial"/>
          <w:u w:val="none"/>
          <w:lang w:val="es-ES_tradnl"/>
        </w:rPr>
        <w:t>. N° 4583/14)</w:t>
      </w:r>
      <w:bookmarkStart w:id="0" w:name="_GoBack"/>
      <w:bookmarkEnd w:id="0"/>
    </w:p>
    <w:p w:rsidR="000B36F5" w:rsidRPr="000B36F5" w:rsidRDefault="000B36F5" w:rsidP="000B36F5">
      <w:pPr>
        <w:pStyle w:val="Ttulo"/>
        <w:rPr>
          <w:rFonts w:cs="Arial"/>
          <w:b w:val="0"/>
          <w:bCs/>
          <w:u w:val="none"/>
          <w:lang w:val="es-ES_tradnl"/>
        </w:rPr>
      </w:pPr>
    </w:p>
    <w:p w:rsidR="007C505B" w:rsidRDefault="007C505B" w:rsidP="008B0EDD">
      <w:pPr>
        <w:pStyle w:val="Ttulo8"/>
        <w:numPr>
          <w:ilvl w:val="0"/>
          <w:numId w:val="0"/>
        </w:numPr>
        <w:ind w:firstLine="851"/>
        <w:rPr>
          <w:b w:val="0"/>
          <w:szCs w:val="24"/>
        </w:rPr>
      </w:pPr>
      <w:r>
        <w:rPr>
          <w:szCs w:val="24"/>
        </w:rPr>
        <w:t xml:space="preserve">VISTO: </w:t>
      </w:r>
      <w:r>
        <w:rPr>
          <w:b w:val="0"/>
          <w:szCs w:val="24"/>
        </w:rPr>
        <w:t xml:space="preserve">las actuaciones remitidas por la Contadora Delegada en la Intendencia de Montevideo relacionadas con </w:t>
      </w:r>
      <w:r w:rsidR="002043EB">
        <w:rPr>
          <w:b w:val="0"/>
          <w:szCs w:val="24"/>
        </w:rPr>
        <w:t xml:space="preserve">la reiteración del gasto derivado de la </w:t>
      </w:r>
      <w:r>
        <w:rPr>
          <w:b w:val="0"/>
          <w:szCs w:val="24"/>
        </w:rPr>
        <w:t xml:space="preserve">ampliación de la </w:t>
      </w:r>
      <w:r>
        <w:rPr>
          <w:b w:val="0"/>
        </w:rPr>
        <w:t xml:space="preserve"> </w:t>
      </w:r>
      <w:r w:rsidR="00117BA1">
        <w:rPr>
          <w:b w:val="0"/>
        </w:rPr>
        <w:t>L</w:t>
      </w:r>
      <w:r>
        <w:rPr>
          <w:b w:val="0"/>
          <w:szCs w:val="24"/>
        </w:rPr>
        <w:t xml:space="preserve">icitación  </w:t>
      </w:r>
      <w:r w:rsidR="00117BA1">
        <w:rPr>
          <w:b w:val="0"/>
          <w:szCs w:val="24"/>
        </w:rPr>
        <w:t>P</w:t>
      </w:r>
      <w:r>
        <w:rPr>
          <w:b w:val="0"/>
          <w:szCs w:val="24"/>
        </w:rPr>
        <w:t>ública Nº</w:t>
      </w:r>
      <w:r>
        <w:rPr>
          <w:b w:val="0"/>
          <w:bCs/>
          <w:szCs w:val="24"/>
        </w:rPr>
        <w:t xml:space="preserve"> 223405</w:t>
      </w:r>
      <w:r>
        <w:rPr>
          <w:b w:val="0"/>
          <w:szCs w:val="24"/>
        </w:rPr>
        <w:t>/1 para arrendamiento de palas y retroexcavadora, con maquinista y chofer incluidos para servicio de operación y mantenimiento de saneamiento;</w:t>
      </w:r>
    </w:p>
    <w:p w:rsidR="007C505B" w:rsidRPr="005267E5" w:rsidRDefault="007C505B" w:rsidP="008B0EDD">
      <w:pPr>
        <w:spacing w:after="0" w:line="360" w:lineRule="auto"/>
        <w:ind w:firstLine="851"/>
        <w:jc w:val="both"/>
        <w:rPr>
          <w:sz w:val="24"/>
          <w:szCs w:val="24"/>
        </w:rPr>
      </w:pPr>
      <w:r w:rsidRPr="00DA2A36">
        <w:rPr>
          <w:rFonts w:cs="Arial"/>
          <w:b/>
          <w:sz w:val="24"/>
          <w:szCs w:val="24"/>
        </w:rPr>
        <w:t>RESULTANDO:</w:t>
      </w:r>
      <w:r w:rsidRPr="005267E5">
        <w:rPr>
          <w:rFonts w:cs="Arial"/>
          <w:sz w:val="24"/>
          <w:szCs w:val="24"/>
        </w:rPr>
        <w:t xml:space="preserve"> </w:t>
      </w:r>
      <w:r w:rsidRPr="00963599">
        <w:rPr>
          <w:rFonts w:cs="Arial"/>
          <w:b/>
          <w:sz w:val="24"/>
          <w:szCs w:val="24"/>
          <w:lang w:val="es-MX"/>
        </w:rPr>
        <w:t>1)</w:t>
      </w:r>
      <w:r w:rsidRPr="005267E5">
        <w:rPr>
          <w:rFonts w:cs="Arial"/>
          <w:bCs/>
          <w:sz w:val="24"/>
          <w:szCs w:val="24"/>
          <w:lang w:val="es-MX"/>
        </w:rPr>
        <w:t xml:space="preserve"> </w:t>
      </w:r>
      <w:r>
        <w:rPr>
          <w:sz w:val="24"/>
          <w:szCs w:val="24"/>
        </w:rPr>
        <w:t>que por</w:t>
      </w:r>
      <w:r w:rsidRPr="005267E5">
        <w:rPr>
          <w:sz w:val="24"/>
          <w:szCs w:val="24"/>
        </w:rPr>
        <w:t xml:space="preserve"> Resolución 1174/2013 de </w:t>
      </w:r>
      <w:r>
        <w:rPr>
          <w:sz w:val="24"/>
          <w:szCs w:val="24"/>
        </w:rPr>
        <w:t>fecha 18/03/13</w:t>
      </w:r>
      <w:r w:rsidRPr="005267E5">
        <w:rPr>
          <w:sz w:val="24"/>
          <w:szCs w:val="24"/>
        </w:rPr>
        <w:t xml:space="preserve">, </w:t>
      </w:r>
      <w:r>
        <w:rPr>
          <w:sz w:val="24"/>
          <w:szCs w:val="24"/>
        </w:rPr>
        <w:t>se dispuso</w:t>
      </w:r>
      <w:r w:rsidRPr="005267E5">
        <w:rPr>
          <w:sz w:val="24"/>
          <w:szCs w:val="24"/>
        </w:rPr>
        <w:t xml:space="preserve"> ampliar en un 100% la adjudicación de la Licitación Pública 223405/1, a la empresa “Excavaciones Michel </w:t>
      </w:r>
      <w:proofErr w:type="spellStart"/>
      <w:r w:rsidRPr="005267E5">
        <w:rPr>
          <w:sz w:val="24"/>
          <w:szCs w:val="24"/>
        </w:rPr>
        <w:t>Achkar</w:t>
      </w:r>
      <w:proofErr w:type="spellEnd"/>
      <w:r w:rsidRPr="005267E5">
        <w:rPr>
          <w:sz w:val="24"/>
          <w:szCs w:val="24"/>
        </w:rPr>
        <w:t xml:space="preserve">” por un monto total de </w:t>
      </w:r>
      <w:r w:rsidR="008B0EDD">
        <w:rPr>
          <w:sz w:val="24"/>
          <w:szCs w:val="24"/>
        </w:rPr>
        <w:t xml:space="preserve">     </w:t>
      </w:r>
      <w:r w:rsidRPr="005267E5">
        <w:rPr>
          <w:sz w:val="24"/>
          <w:szCs w:val="24"/>
        </w:rPr>
        <w:t xml:space="preserve">$ 7.207.760, IVA incluido, al amparo de lo dispuesto en el </w:t>
      </w:r>
      <w:r w:rsidR="008B0EDD">
        <w:rPr>
          <w:sz w:val="24"/>
          <w:szCs w:val="24"/>
        </w:rPr>
        <w:t>A</w:t>
      </w:r>
      <w:r w:rsidRPr="005267E5">
        <w:rPr>
          <w:sz w:val="24"/>
          <w:szCs w:val="24"/>
        </w:rPr>
        <w:t xml:space="preserve">rtículo 74 del TOCAF; </w:t>
      </w:r>
    </w:p>
    <w:p w:rsidR="007C505B" w:rsidRDefault="00963599" w:rsidP="008B0EDD">
      <w:pPr>
        <w:spacing w:after="0" w:line="360" w:lineRule="auto"/>
        <w:ind w:firstLine="2694"/>
        <w:jc w:val="both"/>
        <w:rPr>
          <w:rFonts w:cs="Arial"/>
          <w:sz w:val="24"/>
          <w:szCs w:val="24"/>
        </w:rPr>
      </w:pPr>
      <w:r w:rsidRPr="00963599">
        <w:rPr>
          <w:rFonts w:cs="Arial"/>
          <w:b/>
          <w:sz w:val="24"/>
          <w:szCs w:val="24"/>
        </w:rPr>
        <w:t>2</w:t>
      </w:r>
      <w:r w:rsidR="007C505B" w:rsidRPr="00963599">
        <w:rPr>
          <w:rFonts w:cs="Arial"/>
          <w:b/>
          <w:sz w:val="24"/>
          <w:szCs w:val="24"/>
        </w:rPr>
        <w:t>)</w:t>
      </w:r>
      <w:r w:rsidR="007C505B" w:rsidRPr="005267E5">
        <w:rPr>
          <w:rFonts w:cs="Arial"/>
          <w:sz w:val="24"/>
          <w:szCs w:val="24"/>
        </w:rPr>
        <w:t xml:space="preserve"> que se realizaron imputaciones preventivas parciales con fecha 03/04/2013, con disponibilidad;</w:t>
      </w:r>
    </w:p>
    <w:p w:rsidR="007C505B" w:rsidRDefault="00963599" w:rsidP="008B0EDD">
      <w:pPr>
        <w:spacing w:after="0" w:line="360" w:lineRule="auto"/>
        <w:ind w:firstLine="2694"/>
        <w:jc w:val="both"/>
        <w:rPr>
          <w:rFonts w:cs="Arial"/>
          <w:sz w:val="24"/>
          <w:szCs w:val="24"/>
        </w:rPr>
      </w:pPr>
      <w:r w:rsidRPr="00963599">
        <w:rPr>
          <w:rFonts w:cs="Arial"/>
          <w:b/>
          <w:sz w:val="24"/>
          <w:szCs w:val="24"/>
        </w:rPr>
        <w:t>3</w:t>
      </w:r>
      <w:r w:rsidR="007C505B" w:rsidRPr="00963599">
        <w:rPr>
          <w:rFonts w:cs="Arial"/>
          <w:b/>
          <w:sz w:val="24"/>
          <w:szCs w:val="24"/>
        </w:rPr>
        <w:t>)</w:t>
      </w:r>
      <w:r w:rsidR="00117BA1">
        <w:rPr>
          <w:rFonts w:cs="Arial"/>
          <w:sz w:val="24"/>
          <w:szCs w:val="24"/>
        </w:rPr>
        <w:t xml:space="preserve"> que este Tribunal en S</w:t>
      </w:r>
      <w:r w:rsidR="007C505B">
        <w:rPr>
          <w:rFonts w:cs="Arial"/>
          <w:sz w:val="24"/>
          <w:szCs w:val="24"/>
        </w:rPr>
        <w:t>esión de fecha 25/04/13 observó el gasto por no ajust</w:t>
      </w:r>
      <w:r w:rsidR="008B0EDD">
        <w:rPr>
          <w:rFonts w:cs="Arial"/>
          <w:sz w:val="24"/>
          <w:szCs w:val="24"/>
        </w:rPr>
        <w:t xml:space="preserve">arse a lo dispuesto por el Artículo </w:t>
      </w:r>
      <w:r w:rsidR="007C505B">
        <w:rPr>
          <w:rFonts w:cs="Arial"/>
          <w:sz w:val="24"/>
          <w:szCs w:val="24"/>
        </w:rPr>
        <w:t>74 del TOCAF, dado que el mismo establece que no podrá excederse el 100% de la contratación original y en la oportunidad se remite una segunda ampliación del 100%;</w:t>
      </w:r>
    </w:p>
    <w:p w:rsidR="007C505B" w:rsidRPr="005267E5" w:rsidRDefault="00963599" w:rsidP="008B0EDD">
      <w:pPr>
        <w:spacing w:after="0" w:line="360" w:lineRule="auto"/>
        <w:ind w:firstLine="2694"/>
        <w:jc w:val="both"/>
        <w:rPr>
          <w:rFonts w:cs="Arial"/>
          <w:sz w:val="24"/>
          <w:szCs w:val="24"/>
        </w:rPr>
      </w:pPr>
      <w:r w:rsidRPr="00963599">
        <w:rPr>
          <w:rFonts w:cs="Arial"/>
          <w:b/>
          <w:sz w:val="24"/>
          <w:szCs w:val="24"/>
        </w:rPr>
        <w:t>4</w:t>
      </w:r>
      <w:r w:rsidR="007C505B" w:rsidRPr="00963599">
        <w:rPr>
          <w:rFonts w:cs="Arial"/>
          <w:b/>
          <w:sz w:val="24"/>
          <w:szCs w:val="24"/>
        </w:rPr>
        <w:t>)</w:t>
      </w:r>
      <w:r w:rsidR="007C505B">
        <w:rPr>
          <w:rFonts w:cs="Arial"/>
          <w:sz w:val="24"/>
          <w:szCs w:val="24"/>
        </w:rPr>
        <w:t xml:space="preserve"> que por Resolución de fecha 10/06/13 se reiteró el gasto</w:t>
      </w:r>
      <w:r w:rsidR="00E94525">
        <w:rPr>
          <w:rFonts w:cs="Arial"/>
          <w:sz w:val="24"/>
          <w:szCs w:val="24"/>
        </w:rPr>
        <w:t xml:space="preserve"> expresando que en la primera oportunidad se proc</w:t>
      </w:r>
      <w:r w:rsidR="00117BA1">
        <w:rPr>
          <w:rFonts w:cs="Arial"/>
          <w:sz w:val="24"/>
          <w:szCs w:val="24"/>
        </w:rPr>
        <w:t>edió a la ampliación por el Artículo</w:t>
      </w:r>
      <w:r w:rsidR="00E94525">
        <w:rPr>
          <w:rFonts w:cs="Arial"/>
          <w:sz w:val="24"/>
          <w:szCs w:val="24"/>
        </w:rPr>
        <w:t xml:space="preserve"> 3 del Pliego Particular de Condiciones y en la segunda instancia se tramitó la ampliación en el m</w:t>
      </w:r>
      <w:r w:rsidR="00117BA1">
        <w:rPr>
          <w:rFonts w:cs="Arial"/>
          <w:sz w:val="24"/>
          <w:szCs w:val="24"/>
        </w:rPr>
        <w:t>arco de lo dispuesto por el Artículo</w:t>
      </w:r>
      <w:r w:rsidR="00E94525">
        <w:rPr>
          <w:rFonts w:cs="Arial"/>
          <w:sz w:val="24"/>
          <w:szCs w:val="24"/>
        </w:rPr>
        <w:t xml:space="preserve"> 74 del TOCAF</w:t>
      </w:r>
      <w:r w:rsidR="007C505B">
        <w:rPr>
          <w:rFonts w:cs="Arial"/>
          <w:sz w:val="24"/>
          <w:szCs w:val="24"/>
        </w:rPr>
        <w:t>;</w:t>
      </w:r>
    </w:p>
    <w:p w:rsidR="007C505B" w:rsidRPr="007C505B" w:rsidRDefault="007C505B" w:rsidP="008B0EDD">
      <w:pPr>
        <w:spacing w:after="0" w:line="360" w:lineRule="auto"/>
        <w:ind w:firstLine="851"/>
        <w:jc w:val="both"/>
        <w:rPr>
          <w:sz w:val="24"/>
          <w:szCs w:val="24"/>
          <w:lang w:val="es-MX"/>
        </w:rPr>
      </w:pPr>
      <w:r w:rsidRPr="00C62927">
        <w:rPr>
          <w:b/>
          <w:bCs/>
          <w:sz w:val="24"/>
          <w:szCs w:val="24"/>
          <w:lang w:val="es-ES"/>
        </w:rPr>
        <w:lastRenderedPageBreak/>
        <w:t>C</w:t>
      </w:r>
      <w:r w:rsidRPr="00C62927">
        <w:rPr>
          <w:b/>
          <w:bCs/>
          <w:sz w:val="24"/>
          <w:szCs w:val="24"/>
        </w:rPr>
        <w:t>ONSIDERANDO</w:t>
      </w:r>
      <w:r>
        <w:rPr>
          <w:b/>
          <w:bCs/>
          <w:sz w:val="24"/>
          <w:szCs w:val="24"/>
        </w:rPr>
        <w:t>:</w:t>
      </w:r>
      <w:r w:rsidRPr="007C505B">
        <w:rPr>
          <w:lang w:val="es-MX"/>
        </w:rPr>
        <w:t xml:space="preserve"> </w:t>
      </w:r>
      <w:r>
        <w:rPr>
          <w:b/>
          <w:sz w:val="24"/>
          <w:szCs w:val="24"/>
          <w:lang w:val="es-MX"/>
        </w:rPr>
        <w:t xml:space="preserve">1) </w:t>
      </w:r>
      <w:r w:rsidRPr="007C505B">
        <w:rPr>
          <w:sz w:val="24"/>
          <w:szCs w:val="24"/>
          <w:lang w:val="es-MX"/>
        </w:rPr>
        <w:t>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</w:t>
      </w:r>
    </w:p>
    <w:p w:rsidR="007C505B" w:rsidRPr="007C505B" w:rsidRDefault="007C505B" w:rsidP="008B0EDD">
      <w:pPr>
        <w:spacing w:after="0" w:line="360" w:lineRule="auto"/>
        <w:ind w:firstLine="2977"/>
        <w:jc w:val="both"/>
        <w:rPr>
          <w:sz w:val="24"/>
          <w:szCs w:val="24"/>
          <w:lang w:val="es-MX"/>
        </w:rPr>
      </w:pPr>
      <w:r w:rsidRPr="007C505B">
        <w:rPr>
          <w:b/>
          <w:bCs/>
          <w:sz w:val="24"/>
          <w:szCs w:val="24"/>
          <w:lang w:val="es-MX"/>
        </w:rPr>
        <w:t xml:space="preserve">2) </w:t>
      </w:r>
      <w:r w:rsidRPr="007C505B">
        <w:rPr>
          <w:sz w:val="24"/>
          <w:szCs w:val="24"/>
          <w:lang w:val="es-MX"/>
        </w:rPr>
        <w:t>que sin perjuicio de los argumentos esgrimidos, se mantienen incambiadas las causales de legalidad que motivaron la observación oportunamente efectuada</w:t>
      </w:r>
      <w:r w:rsidR="00963599">
        <w:rPr>
          <w:sz w:val="24"/>
          <w:szCs w:val="24"/>
          <w:lang w:val="es-MX"/>
        </w:rPr>
        <w:t xml:space="preserve"> dado que la norma expresamente establece la ampliación del objeto del contrato por un máximo del 100%</w:t>
      </w:r>
      <w:r w:rsidRPr="007C505B">
        <w:rPr>
          <w:sz w:val="24"/>
          <w:szCs w:val="24"/>
          <w:lang w:val="es-MX"/>
        </w:rPr>
        <w:t>;</w:t>
      </w:r>
      <w:r w:rsidRPr="007C505B">
        <w:rPr>
          <w:sz w:val="24"/>
          <w:szCs w:val="24"/>
        </w:rPr>
        <w:t xml:space="preserve">                          </w:t>
      </w:r>
    </w:p>
    <w:p w:rsidR="007C505B" w:rsidRPr="007C505B" w:rsidRDefault="007C505B" w:rsidP="008B0EDD">
      <w:pPr>
        <w:spacing w:after="0" w:line="360" w:lineRule="auto"/>
        <w:ind w:firstLine="851"/>
        <w:jc w:val="both"/>
        <w:rPr>
          <w:sz w:val="24"/>
          <w:szCs w:val="24"/>
          <w:lang w:val="es-MX"/>
        </w:rPr>
      </w:pPr>
      <w:r w:rsidRPr="007C505B">
        <w:rPr>
          <w:b/>
          <w:sz w:val="24"/>
          <w:szCs w:val="24"/>
          <w:lang w:val="es-MX"/>
        </w:rPr>
        <w:t xml:space="preserve">ATENTO: </w:t>
      </w:r>
      <w:r w:rsidRPr="007C505B">
        <w:rPr>
          <w:sz w:val="24"/>
          <w:szCs w:val="24"/>
          <w:lang w:val="es-MX"/>
        </w:rPr>
        <w:t>a lo precedentemente expuesto, a lo establecido en el Artículo 211 Literal B) de la Constitución de la República, y los Artículos 475 a 477 de la Ley 17.296;</w:t>
      </w:r>
    </w:p>
    <w:p w:rsidR="007C505B" w:rsidRPr="007C505B" w:rsidRDefault="007C505B" w:rsidP="008B0EDD">
      <w:p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 w:rsidRPr="007C505B">
        <w:rPr>
          <w:rFonts w:cs="Arial"/>
          <w:b/>
          <w:sz w:val="24"/>
          <w:szCs w:val="24"/>
        </w:rPr>
        <w:t xml:space="preserve">                                        </w:t>
      </w:r>
      <w:r w:rsidRPr="007C505B">
        <w:rPr>
          <w:rFonts w:cs="Arial"/>
          <w:b/>
          <w:bCs/>
          <w:sz w:val="24"/>
          <w:szCs w:val="24"/>
        </w:rPr>
        <w:t>EL  TRIBUNAL  ACUERDA</w:t>
      </w:r>
    </w:p>
    <w:p w:rsidR="007C505B" w:rsidRDefault="008B0EDD" w:rsidP="008B0EDD">
      <w:pPr>
        <w:pStyle w:val="Prrafodelista"/>
        <w:spacing w:after="0" w:line="360" w:lineRule="auto"/>
        <w:ind w:left="0"/>
        <w:jc w:val="both"/>
        <w:rPr>
          <w:rFonts w:cs="Arial"/>
          <w:bCs/>
          <w:sz w:val="24"/>
          <w:szCs w:val="24"/>
        </w:rPr>
      </w:pPr>
      <w:r w:rsidRPr="008B0EDD">
        <w:rPr>
          <w:rFonts w:cs="Arial"/>
          <w:b/>
          <w:bCs/>
          <w:sz w:val="24"/>
          <w:szCs w:val="24"/>
        </w:rPr>
        <w:t>1)</w:t>
      </w:r>
      <w:r>
        <w:rPr>
          <w:rFonts w:cs="Arial"/>
          <w:bCs/>
          <w:sz w:val="24"/>
          <w:szCs w:val="24"/>
        </w:rPr>
        <w:t xml:space="preserve"> </w:t>
      </w:r>
      <w:r w:rsidR="00963599">
        <w:rPr>
          <w:rFonts w:cs="Arial"/>
          <w:bCs/>
          <w:sz w:val="24"/>
          <w:szCs w:val="24"/>
        </w:rPr>
        <w:t>Mantener la observación formulada por este Tribunal con fecha 25.04.13;</w:t>
      </w:r>
    </w:p>
    <w:p w:rsidR="00963599" w:rsidRDefault="008B0EDD" w:rsidP="008B0EDD">
      <w:pPr>
        <w:pStyle w:val="Prrafodelista"/>
        <w:spacing w:after="0" w:line="360" w:lineRule="auto"/>
        <w:ind w:left="0"/>
        <w:jc w:val="both"/>
        <w:rPr>
          <w:rFonts w:cs="Arial"/>
          <w:bCs/>
          <w:sz w:val="24"/>
          <w:szCs w:val="24"/>
        </w:rPr>
      </w:pPr>
      <w:r w:rsidRPr="008B0EDD">
        <w:rPr>
          <w:rFonts w:cs="Arial"/>
          <w:b/>
          <w:bCs/>
          <w:sz w:val="24"/>
          <w:szCs w:val="24"/>
        </w:rPr>
        <w:t>2)</w:t>
      </w:r>
      <w:r>
        <w:rPr>
          <w:rFonts w:cs="Arial"/>
          <w:bCs/>
          <w:sz w:val="24"/>
          <w:szCs w:val="24"/>
        </w:rPr>
        <w:t xml:space="preserve"> </w:t>
      </w:r>
      <w:r w:rsidR="00963599">
        <w:rPr>
          <w:rFonts w:cs="Arial"/>
          <w:bCs/>
          <w:sz w:val="24"/>
          <w:szCs w:val="24"/>
        </w:rPr>
        <w:t>Comunicar a la Contadora Delegada en la Intendencia de Montevideo;</w:t>
      </w:r>
    </w:p>
    <w:p w:rsidR="00963599" w:rsidRDefault="008B0EDD" w:rsidP="008B0EDD">
      <w:pPr>
        <w:pStyle w:val="Prrafodelista"/>
        <w:spacing w:after="0" w:line="360" w:lineRule="auto"/>
        <w:ind w:left="0"/>
        <w:jc w:val="both"/>
        <w:rPr>
          <w:rFonts w:cs="Arial"/>
          <w:bCs/>
          <w:sz w:val="24"/>
          <w:szCs w:val="24"/>
        </w:rPr>
      </w:pPr>
      <w:r w:rsidRPr="008B0EDD">
        <w:rPr>
          <w:rFonts w:cs="Arial"/>
          <w:b/>
          <w:bCs/>
          <w:sz w:val="24"/>
          <w:szCs w:val="24"/>
        </w:rPr>
        <w:t>3)</w:t>
      </w:r>
      <w:r>
        <w:rPr>
          <w:rFonts w:cs="Arial"/>
          <w:bCs/>
          <w:sz w:val="24"/>
          <w:szCs w:val="24"/>
        </w:rPr>
        <w:t xml:space="preserve"> </w:t>
      </w:r>
      <w:r w:rsidR="00963599">
        <w:rPr>
          <w:rFonts w:cs="Arial"/>
          <w:bCs/>
          <w:sz w:val="24"/>
          <w:szCs w:val="24"/>
        </w:rPr>
        <w:t>Dar cuenta a la Junta Departamental de Montevideo;</w:t>
      </w:r>
    </w:p>
    <w:p w:rsidR="00963599" w:rsidRDefault="008B0EDD" w:rsidP="008B0EDD">
      <w:pPr>
        <w:pStyle w:val="Prrafodelista"/>
        <w:spacing w:after="0" w:line="360" w:lineRule="auto"/>
        <w:ind w:left="0"/>
        <w:jc w:val="both"/>
        <w:rPr>
          <w:rFonts w:cs="Arial"/>
          <w:bCs/>
          <w:sz w:val="24"/>
          <w:szCs w:val="24"/>
        </w:rPr>
      </w:pPr>
      <w:r w:rsidRPr="008B0EDD">
        <w:rPr>
          <w:rFonts w:cs="Arial"/>
          <w:b/>
          <w:bCs/>
          <w:sz w:val="24"/>
          <w:szCs w:val="24"/>
        </w:rPr>
        <w:t>4)</w:t>
      </w:r>
      <w:r>
        <w:rPr>
          <w:rFonts w:cs="Arial"/>
          <w:bCs/>
          <w:sz w:val="24"/>
          <w:szCs w:val="24"/>
        </w:rPr>
        <w:t xml:space="preserve"> </w:t>
      </w:r>
      <w:r w:rsidR="00963599">
        <w:rPr>
          <w:rFonts w:cs="Arial"/>
          <w:bCs/>
          <w:sz w:val="24"/>
          <w:szCs w:val="24"/>
        </w:rPr>
        <w:t>Devolver las actuaciones.</w:t>
      </w:r>
    </w:p>
    <w:p w:rsidR="008B0EDD" w:rsidRDefault="008B0EDD" w:rsidP="008B0EDD">
      <w:pPr>
        <w:pStyle w:val="Prrafodelista"/>
        <w:spacing w:after="0" w:line="360" w:lineRule="auto"/>
        <w:ind w:left="0"/>
        <w:jc w:val="both"/>
        <w:rPr>
          <w:rFonts w:cs="Arial"/>
          <w:bCs/>
          <w:sz w:val="24"/>
          <w:szCs w:val="24"/>
        </w:rPr>
      </w:pPr>
    </w:p>
    <w:p w:rsidR="008B0EDD" w:rsidRPr="00963599" w:rsidRDefault="008B0EDD" w:rsidP="008B0EDD">
      <w:pPr>
        <w:pStyle w:val="Prrafodelista"/>
        <w:spacing w:after="0" w:line="360" w:lineRule="auto"/>
        <w:ind w:left="0"/>
        <w:jc w:val="both"/>
        <w:rPr>
          <w:rFonts w:cs="Arial"/>
          <w:bCs/>
          <w:sz w:val="24"/>
          <w:szCs w:val="24"/>
        </w:rPr>
      </w:pPr>
      <w:proofErr w:type="spellStart"/>
      <w:proofErr w:type="gramStart"/>
      <w:r>
        <w:rPr>
          <w:rFonts w:cs="Arial"/>
          <w:bCs/>
          <w:sz w:val="24"/>
          <w:szCs w:val="24"/>
        </w:rPr>
        <w:t>ag</w:t>
      </w:r>
      <w:proofErr w:type="spellEnd"/>
      <w:proofErr w:type="gramEnd"/>
    </w:p>
    <w:p w:rsidR="0075368A" w:rsidRDefault="0075368A"/>
    <w:sectPr w:rsidR="0075368A" w:rsidSect="00AD73CB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4707"/>
    <w:multiLevelType w:val="hybridMultilevel"/>
    <w:tmpl w:val="A1FE1B3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5B"/>
    <w:rsid w:val="000A2DDE"/>
    <w:rsid w:val="000B36F5"/>
    <w:rsid w:val="00117BA1"/>
    <w:rsid w:val="00156049"/>
    <w:rsid w:val="002043EB"/>
    <w:rsid w:val="005861DC"/>
    <w:rsid w:val="0075368A"/>
    <w:rsid w:val="007C505B"/>
    <w:rsid w:val="0080325B"/>
    <w:rsid w:val="00887720"/>
    <w:rsid w:val="008A601B"/>
    <w:rsid w:val="008B0EDD"/>
    <w:rsid w:val="00963599"/>
    <w:rsid w:val="00982B28"/>
    <w:rsid w:val="00AD73CB"/>
    <w:rsid w:val="00B42E3A"/>
    <w:rsid w:val="00DA4175"/>
    <w:rsid w:val="00E94525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caps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5B"/>
    <w:rPr>
      <w:rFonts w:eastAsia="Calibri" w:cs="Times New Roman"/>
      <w:bCs w:val="0"/>
      <w:caps w:val="0"/>
      <w:sz w:val="20"/>
      <w:szCs w:val="20"/>
      <w:lang w:val="es-UY" w:eastAsia="es-UY"/>
    </w:rPr>
  </w:style>
  <w:style w:type="paragraph" w:styleId="Ttulo2">
    <w:name w:val="heading 2"/>
    <w:basedOn w:val="Normal"/>
    <w:next w:val="Normal"/>
    <w:link w:val="Ttulo2Car"/>
    <w:qFormat/>
    <w:rsid w:val="007C505B"/>
    <w:pPr>
      <w:keepNext/>
      <w:spacing w:after="0" w:line="240" w:lineRule="auto"/>
      <w:jc w:val="center"/>
      <w:outlineLvl w:val="1"/>
    </w:pPr>
    <w:rPr>
      <w:rFonts w:eastAsia="Times New Roman" w:cs="Arial"/>
      <w:b/>
      <w:color w:val="000000"/>
      <w:sz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7C505B"/>
    <w:pPr>
      <w:keepNext/>
      <w:numPr>
        <w:numId w:val="1"/>
      </w:numPr>
      <w:spacing w:after="0" w:line="360" w:lineRule="auto"/>
      <w:jc w:val="both"/>
      <w:outlineLvl w:val="7"/>
    </w:pPr>
    <w:rPr>
      <w:rFonts w:eastAsia="Times New Roman" w:cs="Arial"/>
      <w:b/>
      <w:color w:val="000000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C505B"/>
    <w:rPr>
      <w:b/>
      <w:bCs w:val="0"/>
      <w:caps w:val="0"/>
      <w:color w:val="00000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7C505B"/>
    <w:rPr>
      <w:b/>
      <w:bCs w:val="0"/>
      <w:caps w:val="0"/>
      <w:color w:val="00000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C505B"/>
    <w:pPr>
      <w:spacing w:after="0" w:line="360" w:lineRule="auto"/>
      <w:jc w:val="center"/>
    </w:pPr>
    <w:rPr>
      <w:rFonts w:eastAsia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7C505B"/>
    <w:rPr>
      <w:rFonts w:cs="Times New Roman"/>
      <w:b/>
      <w:bCs w:val="0"/>
      <w:caps w:val="0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C505B"/>
    <w:pPr>
      <w:spacing w:after="0" w:line="360" w:lineRule="auto"/>
      <w:jc w:val="center"/>
    </w:pPr>
    <w:rPr>
      <w:rFonts w:eastAsia="Times New Roman" w:cs="Arial"/>
      <w:b/>
      <w:color w:val="000000"/>
      <w:sz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C505B"/>
    <w:rPr>
      <w:b/>
      <w:bCs w:val="0"/>
      <w:caps w:val="0"/>
      <w:color w:val="00000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C50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C505B"/>
    <w:rPr>
      <w:rFonts w:eastAsia="Calibri" w:cs="Times New Roman"/>
      <w:bCs w:val="0"/>
      <w:caps w:val="0"/>
      <w:sz w:val="20"/>
      <w:szCs w:val="20"/>
      <w:lang w:val="es-UY" w:eastAsia="es-UY"/>
    </w:rPr>
  </w:style>
  <w:style w:type="paragraph" w:styleId="Prrafodelista">
    <w:name w:val="List Paragraph"/>
    <w:basedOn w:val="Normal"/>
    <w:uiPriority w:val="34"/>
    <w:qFormat/>
    <w:rsid w:val="00963599"/>
    <w:pPr>
      <w:ind w:left="720"/>
      <w:contextualSpacing/>
    </w:pPr>
  </w:style>
  <w:style w:type="character" w:styleId="Hipervnculo">
    <w:name w:val="Hyperlink"/>
    <w:semiHidden/>
    <w:rsid w:val="000B3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caps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5B"/>
    <w:rPr>
      <w:rFonts w:eastAsia="Calibri" w:cs="Times New Roman"/>
      <w:bCs w:val="0"/>
      <w:caps w:val="0"/>
      <w:sz w:val="20"/>
      <w:szCs w:val="20"/>
      <w:lang w:val="es-UY" w:eastAsia="es-UY"/>
    </w:rPr>
  </w:style>
  <w:style w:type="paragraph" w:styleId="Ttulo2">
    <w:name w:val="heading 2"/>
    <w:basedOn w:val="Normal"/>
    <w:next w:val="Normal"/>
    <w:link w:val="Ttulo2Car"/>
    <w:qFormat/>
    <w:rsid w:val="007C505B"/>
    <w:pPr>
      <w:keepNext/>
      <w:spacing w:after="0" w:line="240" w:lineRule="auto"/>
      <w:jc w:val="center"/>
      <w:outlineLvl w:val="1"/>
    </w:pPr>
    <w:rPr>
      <w:rFonts w:eastAsia="Times New Roman" w:cs="Arial"/>
      <w:b/>
      <w:color w:val="000000"/>
      <w:sz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7C505B"/>
    <w:pPr>
      <w:keepNext/>
      <w:numPr>
        <w:numId w:val="1"/>
      </w:numPr>
      <w:spacing w:after="0" w:line="360" w:lineRule="auto"/>
      <w:jc w:val="both"/>
      <w:outlineLvl w:val="7"/>
    </w:pPr>
    <w:rPr>
      <w:rFonts w:eastAsia="Times New Roman" w:cs="Arial"/>
      <w:b/>
      <w:color w:val="000000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C505B"/>
    <w:rPr>
      <w:b/>
      <w:bCs w:val="0"/>
      <w:caps w:val="0"/>
      <w:color w:val="00000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7C505B"/>
    <w:rPr>
      <w:b/>
      <w:bCs w:val="0"/>
      <w:caps w:val="0"/>
      <w:color w:val="00000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C505B"/>
    <w:pPr>
      <w:spacing w:after="0" w:line="360" w:lineRule="auto"/>
      <w:jc w:val="center"/>
    </w:pPr>
    <w:rPr>
      <w:rFonts w:eastAsia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7C505B"/>
    <w:rPr>
      <w:rFonts w:cs="Times New Roman"/>
      <w:b/>
      <w:bCs w:val="0"/>
      <w:caps w:val="0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C505B"/>
    <w:pPr>
      <w:spacing w:after="0" w:line="360" w:lineRule="auto"/>
      <w:jc w:val="center"/>
    </w:pPr>
    <w:rPr>
      <w:rFonts w:eastAsia="Times New Roman" w:cs="Arial"/>
      <w:b/>
      <w:color w:val="000000"/>
      <w:sz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C505B"/>
    <w:rPr>
      <w:b/>
      <w:bCs w:val="0"/>
      <w:caps w:val="0"/>
      <w:color w:val="00000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C50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C505B"/>
    <w:rPr>
      <w:rFonts w:eastAsia="Calibri" w:cs="Times New Roman"/>
      <w:bCs w:val="0"/>
      <w:caps w:val="0"/>
      <w:sz w:val="20"/>
      <w:szCs w:val="20"/>
      <w:lang w:val="es-UY" w:eastAsia="es-UY"/>
    </w:rPr>
  </w:style>
  <w:style w:type="paragraph" w:styleId="Prrafodelista">
    <w:name w:val="List Paragraph"/>
    <w:basedOn w:val="Normal"/>
    <w:uiPriority w:val="34"/>
    <w:qFormat/>
    <w:rsid w:val="00963599"/>
    <w:pPr>
      <w:ind w:left="720"/>
      <w:contextualSpacing/>
    </w:pPr>
  </w:style>
  <w:style w:type="character" w:styleId="Hipervnculo">
    <w:name w:val="Hyperlink"/>
    <w:semiHidden/>
    <w:rsid w:val="000B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Lenovo User</cp:lastModifiedBy>
  <cp:revision>2</cp:revision>
  <cp:lastPrinted>2014-09-01T17:23:00Z</cp:lastPrinted>
  <dcterms:created xsi:type="dcterms:W3CDTF">2014-09-01T17:24:00Z</dcterms:created>
  <dcterms:modified xsi:type="dcterms:W3CDTF">2014-09-01T17:24:00Z</dcterms:modified>
</cp:coreProperties>
</file>