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27" w:rsidRDefault="00050327" w:rsidP="0005032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050327" w:rsidRDefault="00050327" w:rsidP="00050327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50327" w:rsidRDefault="00050327" w:rsidP="0005032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50327" w:rsidRDefault="00050327" w:rsidP="00050327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50327" w:rsidRDefault="00050327" w:rsidP="0005032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AGOSTO DE 2014</w:t>
      </w:r>
    </w:p>
    <w:p w:rsidR="00050327" w:rsidRDefault="00050327" w:rsidP="0005032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50327" w:rsidRPr="00050327" w:rsidRDefault="00050327" w:rsidP="0005032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</w:rPr>
      </w:pPr>
      <w:r w:rsidRPr="00050327">
        <w:rPr>
          <w:rFonts w:ascii="Helvetica" w:hAnsi="Helvetica"/>
          <w:b/>
        </w:rPr>
        <w:t>(E. E. Nº 2014-17-1-0005652, Ent. N° 4385/14)</w:t>
      </w:r>
    </w:p>
    <w:p w:rsidR="00050327" w:rsidRPr="00050327" w:rsidRDefault="00050327" w:rsidP="0005032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</w:rPr>
      </w:pPr>
    </w:p>
    <w:p w:rsidR="00322CAD" w:rsidRDefault="00322CAD" w:rsidP="0005032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3320B0">
        <w:rPr>
          <w:rFonts w:ascii="Arial" w:hAnsi="Arial"/>
        </w:rPr>
        <w:t xml:space="preserve">la nota de fecha 22 de julio </w:t>
      </w:r>
      <w:r>
        <w:rPr>
          <w:rFonts w:ascii="Arial" w:hAnsi="Arial"/>
        </w:rPr>
        <w:t>de 201</w:t>
      </w:r>
      <w:r w:rsidR="003320B0">
        <w:rPr>
          <w:rFonts w:ascii="Arial" w:hAnsi="Arial"/>
        </w:rPr>
        <w:t>4</w:t>
      </w:r>
      <w:r>
        <w:rPr>
          <w:rFonts w:ascii="Arial" w:hAnsi="Arial"/>
        </w:rPr>
        <w:t xml:space="preserve"> remitid</w:t>
      </w:r>
      <w:r w:rsidR="003320B0">
        <w:rPr>
          <w:rFonts w:ascii="Arial" w:hAnsi="Arial"/>
        </w:rPr>
        <w:t>a</w:t>
      </w:r>
      <w:r>
        <w:rPr>
          <w:rFonts w:ascii="Arial" w:hAnsi="Arial"/>
        </w:rPr>
        <w:t xml:space="preserve"> por la Contadora Delegada </w:t>
      </w:r>
      <w:r w:rsidR="0033098C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3320B0">
        <w:rPr>
          <w:rFonts w:ascii="Arial" w:hAnsi="Arial"/>
        </w:rPr>
        <w:t>a</w:t>
      </w:r>
      <w:r>
        <w:rPr>
          <w:rFonts w:ascii="Arial" w:hAnsi="Arial"/>
        </w:rPr>
        <w:t xml:space="preserve"> con reiteraciones de gastos efectuadas en los meses de </w:t>
      </w:r>
      <w:r w:rsidR="00034E4C">
        <w:rPr>
          <w:rFonts w:ascii="Arial" w:hAnsi="Arial"/>
        </w:rPr>
        <w:t xml:space="preserve">marzo, mayo, setiembre a diciembre </w:t>
      </w:r>
      <w:r w:rsidR="00D44DF0">
        <w:rPr>
          <w:rFonts w:ascii="Arial" w:hAnsi="Arial"/>
        </w:rPr>
        <w:t>de 2013</w:t>
      </w:r>
      <w:r w:rsidR="00034E4C">
        <w:rPr>
          <w:rFonts w:ascii="Arial" w:hAnsi="Arial"/>
        </w:rPr>
        <w:t xml:space="preserve"> y enero a junio de 2014</w:t>
      </w:r>
      <w:r>
        <w:rPr>
          <w:rFonts w:ascii="Arial" w:hAnsi="Arial"/>
          <w:lang w:val="es-MX"/>
        </w:rPr>
        <w:t>;</w:t>
      </w:r>
    </w:p>
    <w:p w:rsidR="00322CAD" w:rsidRDefault="00322CAD" w:rsidP="0005032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s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s Delegad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s titular y subrogante observaron 105 gastos por $ 31:606.163 y US$ 924.946 en los meses de marzo, mayo, setiembre a diciembre de 2013 y enero a junio d</w:t>
      </w:r>
      <w:r w:rsidR="00050327">
        <w:rPr>
          <w:rFonts w:ascii="Arial" w:hAnsi="Arial"/>
          <w:lang w:val="es-MX"/>
        </w:rPr>
        <w:t>e 2014, por incumplimiento del A</w:t>
      </w:r>
      <w:r w:rsidR="00637085">
        <w:rPr>
          <w:rFonts w:ascii="Arial" w:hAnsi="Arial"/>
          <w:lang w:val="es-MX"/>
        </w:rPr>
        <w:t>rtículo 15 del TOCAF, según el siguiente detalle: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3043"/>
        <w:gridCol w:w="1887"/>
        <w:gridCol w:w="2295"/>
      </w:tblGrid>
      <w:tr w:rsidR="007769D6" w:rsidRPr="00880E73" w:rsidTr="009E15B2">
        <w:trPr>
          <w:jc w:val="right"/>
        </w:trPr>
        <w:tc>
          <w:tcPr>
            <w:tcW w:w="857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Ejercicio</w:t>
            </w:r>
          </w:p>
        </w:tc>
        <w:tc>
          <w:tcPr>
            <w:tcW w:w="1744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Cantidad de gastos</w:t>
            </w:r>
          </w:p>
        </w:tc>
        <w:tc>
          <w:tcPr>
            <w:tcW w:w="1082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Importe ($)</w:t>
            </w:r>
          </w:p>
        </w:tc>
        <w:tc>
          <w:tcPr>
            <w:tcW w:w="1316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Importe (US$)</w:t>
            </w:r>
          </w:p>
        </w:tc>
      </w:tr>
      <w:tr w:rsidR="007769D6" w:rsidRPr="009E15B2" w:rsidTr="009E15B2">
        <w:trPr>
          <w:jc w:val="right"/>
        </w:trPr>
        <w:tc>
          <w:tcPr>
            <w:tcW w:w="857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2013</w:t>
            </w:r>
          </w:p>
        </w:tc>
        <w:tc>
          <w:tcPr>
            <w:tcW w:w="1744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65</w:t>
            </w:r>
          </w:p>
        </w:tc>
        <w:tc>
          <w:tcPr>
            <w:tcW w:w="1082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13:258.050</w:t>
            </w:r>
          </w:p>
        </w:tc>
        <w:tc>
          <w:tcPr>
            <w:tcW w:w="1316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5.523</w:t>
            </w:r>
          </w:p>
        </w:tc>
      </w:tr>
      <w:tr w:rsidR="007769D6" w:rsidRPr="009E15B2" w:rsidTr="009E15B2">
        <w:trPr>
          <w:jc w:val="right"/>
        </w:trPr>
        <w:tc>
          <w:tcPr>
            <w:tcW w:w="857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2014</w:t>
            </w:r>
          </w:p>
        </w:tc>
        <w:tc>
          <w:tcPr>
            <w:tcW w:w="1744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40</w:t>
            </w:r>
          </w:p>
        </w:tc>
        <w:tc>
          <w:tcPr>
            <w:tcW w:w="1082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18:348.113</w:t>
            </w:r>
          </w:p>
        </w:tc>
        <w:tc>
          <w:tcPr>
            <w:tcW w:w="1316" w:type="pct"/>
            <w:shd w:val="clear" w:color="auto" w:fill="auto"/>
          </w:tcPr>
          <w:p w:rsidR="007769D6" w:rsidRPr="009E15B2" w:rsidRDefault="007769D6" w:rsidP="009E15B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E15B2">
              <w:rPr>
                <w:rFonts w:ascii="Arial" w:hAnsi="Arial"/>
                <w:lang w:val="es-MX"/>
              </w:rPr>
              <w:t>919.423</w:t>
            </w:r>
          </w:p>
        </w:tc>
      </w:tr>
      <w:tr w:rsidR="007769D6" w:rsidRPr="00880E73" w:rsidTr="009E15B2">
        <w:trPr>
          <w:jc w:val="right"/>
        </w:trPr>
        <w:tc>
          <w:tcPr>
            <w:tcW w:w="857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jc w:val="left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744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105</w:t>
            </w:r>
          </w:p>
        </w:tc>
        <w:tc>
          <w:tcPr>
            <w:tcW w:w="1082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31:606.163</w:t>
            </w:r>
          </w:p>
        </w:tc>
        <w:tc>
          <w:tcPr>
            <w:tcW w:w="1316" w:type="pct"/>
            <w:shd w:val="clear" w:color="auto" w:fill="auto"/>
          </w:tcPr>
          <w:p w:rsidR="007769D6" w:rsidRPr="00880E73" w:rsidRDefault="007769D6" w:rsidP="009E15B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880E73">
              <w:rPr>
                <w:rFonts w:ascii="Arial" w:hAnsi="Arial"/>
                <w:b/>
                <w:lang w:val="es-MX"/>
              </w:rPr>
              <w:t>924.946</w:t>
            </w:r>
          </w:p>
        </w:tc>
      </w:tr>
    </w:tbl>
    <w:p w:rsidR="00637085" w:rsidRPr="00D05C33" w:rsidRDefault="00637085">
      <w:pPr>
        <w:spacing w:after="120"/>
        <w:rPr>
          <w:rFonts w:ascii="Arial" w:hAnsi="Arial"/>
          <w:lang w:val="es-MX"/>
        </w:rPr>
      </w:pPr>
    </w:p>
    <w:p w:rsidR="00322CAD" w:rsidRDefault="00322CAD" w:rsidP="00050327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050327">
        <w:rPr>
          <w:rFonts w:ascii="Arial" w:hAnsi="Arial"/>
          <w:spacing w:val="-3"/>
          <w:lang w:val="es-ES_tradnl"/>
        </w:rPr>
        <w:t xml:space="preserve"> que en las R</w:t>
      </w:r>
      <w:r>
        <w:rPr>
          <w:rFonts w:ascii="Arial" w:hAnsi="Arial"/>
          <w:spacing w:val="-3"/>
          <w:lang w:val="es-ES_tradnl"/>
        </w:rPr>
        <w:t>esoluciones de reiteración se establecen los fundamentos de las mismas;</w:t>
      </w:r>
    </w:p>
    <w:p w:rsidR="00311447" w:rsidRDefault="00322CAD" w:rsidP="0031144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050327">
        <w:rPr>
          <w:rFonts w:ascii="Arial" w:hAnsi="Arial"/>
          <w:lang w:val="es-MX"/>
        </w:rPr>
        <w:t>que el A</w:t>
      </w:r>
      <w:r w:rsidR="00311447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</w:t>
      </w:r>
      <w:r w:rsidR="00311447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311447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</w:t>
      </w:r>
      <w:r w:rsidR="0031144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322CAD" w:rsidRDefault="00880E73" w:rsidP="00880E73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322CAD">
        <w:rPr>
          <w:rFonts w:ascii="Arial" w:hAnsi="Arial"/>
          <w:spacing w:val="-3"/>
          <w:lang w:val="es-ES_tradnl"/>
        </w:rPr>
        <w:t xml:space="preserve"> que lo</w:t>
      </w:r>
      <w:r w:rsidR="00311447">
        <w:rPr>
          <w:rFonts w:ascii="Arial" w:hAnsi="Arial"/>
          <w:spacing w:val="-3"/>
          <w:lang w:val="es-ES_tradnl"/>
        </w:rPr>
        <w:t>s fundamentos expuestos en las R</w:t>
      </w:r>
      <w:r w:rsidR="00322CAD">
        <w:rPr>
          <w:rFonts w:ascii="Arial" w:hAnsi="Arial"/>
          <w:spacing w:val="-3"/>
          <w:lang w:val="es-ES_tradnl"/>
        </w:rPr>
        <w:t>esoluciones de reiteración no ameritan el levantamiento de las observaciones;</w:t>
      </w:r>
    </w:p>
    <w:p w:rsidR="00322CAD" w:rsidRDefault="00322CAD" w:rsidP="00311447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311447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311447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la Constitución de la República;</w:t>
      </w:r>
    </w:p>
    <w:p w:rsidR="00322CAD" w:rsidRDefault="00322CA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</w:t>
      </w:r>
      <w:r w:rsidR="00E04E1E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E04E1E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E04E1E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en la Intendencia de Paysandú</w:t>
      </w:r>
      <w:r>
        <w:rPr>
          <w:rFonts w:ascii="Arial" w:hAnsi="Arial"/>
        </w:rPr>
        <w:t>;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Paysandú</w:t>
      </w:r>
      <w:r w:rsidR="00880E73">
        <w:rPr>
          <w:rFonts w:ascii="Arial" w:hAnsi="Arial"/>
          <w:lang w:val="es-MX"/>
        </w:rPr>
        <w:t>;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500BEA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500BEA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500BEA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311447" w:rsidRDefault="00311447" w:rsidP="00311447">
      <w:pPr>
        <w:ind w:hanging="567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311447" w:rsidSect="00311447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73" w:rsidRDefault="00880E73">
      <w:pPr>
        <w:spacing w:line="240" w:lineRule="auto"/>
      </w:pPr>
      <w:r>
        <w:separator/>
      </w:r>
    </w:p>
  </w:endnote>
  <w:endnote w:type="continuationSeparator" w:id="0">
    <w:p w:rsidR="00880E73" w:rsidRDefault="00880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73" w:rsidRDefault="00880E73">
      <w:pPr>
        <w:spacing w:line="240" w:lineRule="auto"/>
      </w:pPr>
      <w:r>
        <w:separator/>
      </w:r>
    </w:p>
  </w:footnote>
  <w:footnote w:type="continuationSeparator" w:id="0">
    <w:p w:rsidR="00880E73" w:rsidRDefault="00880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B5F"/>
    <w:rsid w:val="00034E4C"/>
    <w:rsid w:val="00050327"/>
    <w:rsid w:val="000E43DB"/>
    <w:rsid w:val="001E1855"/>
    <w:rsid w:val="00253E9F"/>
    <w:rsid w:val="00262F23"/>
    <w:rsid w:val="00311447"/>
    <w:rsid w:val="00322CAD"/>
    <w:rsid w:val="003271E2"/>
    <w:rsid w:val="0033098C"/>
    <w:rsid w:val="003320B0"/>
    <w:rsid w:val="004C02C4"/>
    <w:rsid w:val="004E3B5F"/>
    <w:rsid w:val="00500BEA"/>
    <w:rsid w:val="00512537"/>
    <w:rsid w:val="00637085"/>
    <w:rsid w:val="007769D6"/>
    <w:rsid w:val="00880E73"/>
    <w:rsid w:val="009824FE"/>
    <w:rsid w:val="009C025B"/>
    <w:rsid w:val="009E15B2"/>
    <w:rsid w:val="00AB29F2"/>
    <w:rsid w:val="00B53807"/>
    <w:rsid w:val="00C40FD4"/>
    <w:rsid w:val="00C53B84"/>
    <w:rsid w:val="00D05C33"/>
    <w:rsid w:val="00D44DF0"/>
    <w:rsid w:val="00D45D3A"/>
    <w:rsid w:val="00D84F8A"/>
    <w:rsid w:val="00E04E1E"/>
    <w:rsid w:val="00E25E9A"/>
    <w:rsid w:val="00FD1D09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2014-08-21T17:08:00Z</cp:lastPrinted>
  <dcterms:created xsi:type="dcterms:W3CDTF">2014-08-21T17:22:00Z</dcterms:created>
  <dcterms:modified xsi:type="dcterms:W3CDTF">2014-09-15T19:44:00Z</dcterms:modified>
</cp:coreProperties>
</file>