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B65" w:rsidRPr="00220B65" w:rsidRDefault="00220B65" w:rsidP="00220B65">
      <w:pPr>
        <w:tabs>
          <w:tab w:val="center" w:pos="4253"/>
        </w:tabs>
        <w:suppressAutoHyphens/>
        <w:spacing w:after="0" w:line="480" w:lineRule="auto"/>
        <w:jc w:val="center"/>
        <w:rPr>
          <w:rFonts w:ascii="Arial" w:hAnsi="Arial" w:cs="Arial"/>
          <w:b/>
          <w:sz w:val="24"/>
          <w:szCs w:val="24"/>
          <w:lang w:val="es-ES_tradnl"/>
        </w:rPr>
      </w:pPr>
      <w:bookmarkStart w:id="0" w:name="_GoBack"/>
      <w:bookmarkEnd w:id="0"/>
      <w:r w:rsidRPr="00220B65">
        <w:rPr>
          <w:rFonts w:ascii="Arial" w:hAnsi="Arial" w:cs="Arial"/>
          <w:b/>
          <w:sz w:val="24"/>
          <w:szCs w:val="24"/>
          <w:lang w:val="es-ES_tradnl"/>
        </w:rPr>
        <w:t>RESOLUCION ADOPTADA POR EL</w:t>
      </w:r>
    </w:p>
    <w:p w:rsidR="00220B65" w:rsidRPr="00220B65" w:rsidRDefault="00220B65" w:rsidP="00220B65">
      <w:pPr>
        <w:tabs>
          <w:tab w:val="center" w:pos="4253"/>
        </w:tabs>
        <w:suppressAutoHyphens/>
        <w:spacing w:after="0" w:line="480" w:lineRule="auto"/>
        <w:jc w:val="center"/>
        <w:rPr>
          <w:rFonts w:ascii="Arial" w:hAnsi="Arial" w:cs="Arial"/>
          <w:b/>
          <w:sz w:val="24"/>
          <w:szCs w:val="24"/>
          <w:lang w:val="es-ES_tradnl"/>
        </w:rPr>
      </w:pPr>
      <w:r w:rsidRPr="00220B65">
        <w:rPr>
          <w:rFonts w:ascii="Arial" w:hAnsi="Arial" w:cs="Arial"/>
          <w:b/>
          <w:sz w:val="24"/>
          <w:szCs w:val="24"/>
          <w:lang w:val="es-ES_tradnl"/>
        </w:rPr>
        <w:t>TRIBUNAL DE CUENTAS</w:t>
      </w:r>
    </w:p>
    <w:p w:rsidR="00220B65" w:rsidRPr="00220B65" w:rsidRDefault="00220B65" w:rsidP="00220B65">
      <w:pPr>
        <w:tabs>
          <w:tab w:val="center" w:pos="4253"/>
        </w:tabs>
        <w:suppressAutoHyphens/>
        <w:spacing w:after="0" w:line="480" w:lineRule="auto"/>
        <w:jc w:val="center"/>
        <w:rPr>
          <w:rFonts w:ascii="Arial" w:hAnsi="Arial" w:cs="Arial"/>
          <w:b/>
          <w:sz w:val="24"/>
          <w:szCs w:val="24"/>
          <w:lang w:val="es-ES_tradnl"/>
        </w:rPr>
      </w:pPr>
      <w:r w:rsidRPr="00220B65">
        <w:rPr>
          <w:rFonts w:ascii="Arial" w:hAnsi="Arial" w:cs="Arial"/>
          <w:b/>
          <w:sz w:val="24"/>
          <w:szCs w:val="24"/>
          <w:lang w:val="es-ES_tradnl"/>
        </w:rPr>
        <w:t>EN SESION DE FECHA 28 DE AGOSTO DE 2014</w:t>
      </w:r>
    </w:p>
    <w:p w:rsidR="00220B65" w:rsidRDefault="00220B65" w:rsidP="00220B65">
      <w:pPr>
        <w:tabs>
          <w:tab w:val="center" w:pos="4253"/>
        </w:tabs>
        <w:suppressAutoHyphens/>
        <w:spacing w:after="0" w:line="480" w:lineRule="auto"/>
        <w:jc w:val="center"/>
        <w:rPr>
          <w:rFonts w:ascii="Arial" w:hAnsi="Arial" w:cs="Arial"/>
          <w:b/>
          <w:sz w:val="24"/>
          <w:szCs w:val="24"/>
        </w:rPr>
      </w:pPr>
      <w:r w:rsidRPr="00220B65">
        <w:rPr>
          <w:rFonts w:ascii="Arial" w:hAnsi="Arial" w:cs="Arial"/>
          <w:b/>
          <w:sz w:val="24"/>
          <w:szCs w:val="24"/>
        </w:rPr>
        <w:t xml:space="preserve">(E. E. Nº 2013-17-1-0001890, </w:t>
      </w:r>
      <w:proofErr w:type="spellStart"/>
      <w:r w:rsidRPr="00220B65">
        <w:rPr>
          <w:rFonts w:ascii="Arial" w:hAnsi="Arial" w:cs="Arial"/>
          <w:b/>
          <w:sz w:val="24"/>
          <w:szCs w:val="24"/>
        </w:rPr>
        <w:t>Ent</w:t>
      </w:r>
      <w:proofErr w:type="spellEnd"/>
      <w:r w:rsidRPr="00220B65">
        <w:rPr>
          <w:rFonts w:ascii="Arial" w:hAnsi="Arial" w:cs="Arial"/>
          <w:b/>
          <w:sz w:val="24"/>
          <w:szCs w:val="24"/>
        </w:rPr>
        <w:t>. N° 2720/14)</w:t>
      </w:r>
    </w:p>
    <w:p w:rsidR="002F47A6" w:rsidRDefault="002F47A6" w:rsidP="00220B65">
      <w:pPr>
        <w:tabs>
          <w:tab w:val="center" w:pos="4253"/>
        </w:tabs>
        <w:suppressAutoHyphens/>
        <w:spacing w:after="0" w:line="480" w:lineRule="auto"/>
        <w:jc w:val="center"/>
        <w:rPr>
          <w:rFonts w:ascii="Arial" w:hAnsi="Arial" w:cs="Arial"/>
          <w:b/>
          <w:sz w:val="24"/>
          <w:szCs w:val="24"/>
        </w:rPr>
      </w:pPr>
    </w:p>
    <w:p w:rsidR="009A6736" w:rsidRDefault="009A6736" w:rsidP="001B4535">
      <w:pPr>
        <w:spacing w:after="0" w:line="360" w:lineRule="auto"/>
        <w:ind w:firstLine="851"/>
        <w:jc w:val="both"/>
        <w:rPr>
          <w:rFonts w:ascii="Arial" w:hAnsi="Arial" w:cs="Arial"/>
          <w:sz w:val="24"/>
          <w:szCs w:val="24"/>
        </w:rPr>
      </w:pPr>
      <w:r>
        <w:rPr>
          <w:rFonts w:ascii="Arial" w:hAnsi="Arial" w:cs="Arial"/>
          <w:b/>
          <w:bCs/>
          <w:sz w:val="24"/>
          <w:szCs w:val="24"/>
        </w:rPr>
        <w:t>VISTO</w:t>
      </w:r>
      <w:r w:rsidRPr="001B4535">
        <w:rPr>
          <w:rFonts w:ascii="Arial" w:hAnsi="Arial" w:cs="Arial"/>
          <w:b/>
          <w:sz w:val="24"/>
          <w:szCs w:val="24"/>
        </w:rPr>
        <w:t>:</w:t>
      </w:r>
      <w:r>
        <w:rPr>
          <w:rFonts w:ascii="Arial" w:hAnsi="Arial" w:cs="Arial"/>
          <w:sz w:val="24"/>
          <w:szCs w:val="24"/>
        </w:rPr>
        <w:t xml:space="preserve"> los Oficios Nº 174/2013 y Nº 76/2014 de fechas 24/09/13 y 06/05/14 respectivamente, remitidos por PLUNA Ente Autónomo (PLUNA E.A.), referentes al pedido de reconsideración del dictamen emitido el 10/07/13 sobre sus Estados Contables al 31/12/12;</w:t>
      </w:r>
    </w:p>
    <w:p w:rsidR="00220B65" w:rsidRDefault="009A6736" w:rsidP="001B4535">
      <w:pPr>
        <w:tabs>
          <w:tab w:val="left" w:pos="1701"/>
          <w:tab w:val="left" w:pos="2410"/>
          <w:tab w:val="left" w:pos="2835"/>
          <w:tab w:val="left" w:pos="2977"/>
        </w:tabs>
        <w:spacing w:after="0" w:line="360" w:lineRule="auto"/>
        <w:ind w:firstLine="851"/>
        <w:jc w:val="both"/>
        <w:rPr>
          <w:rFonts w:ascii="Arial" w:hAnsi="Arial" w:cs="Arial"/>
          <w:sz w:val="24"/>
          <w:szCs w:val="24"/>
        </w:rPr>
      </w:pPr>
      <w:r>
        <w:rPr>
          <w:rFonts w:ascii="Arial" w:hAnsi="Arial" w:cs="Arial"/>
          <w:b/>
          <w:bCs/>
          <w:sz w:val="24"/>
          <w:szCs w:val="24"/>
        </w:rPr>
        <w:t>RESULTANDO:</w:t>
      </w:r>
      <w:r w:rsidR="00220B65">
        <w:rPr>
          <w:rFonts w:ascii="Arial" w:hAnsi="Arial" w:cs="Arial"/>
          <w:b/>
          <w:bCs/>
          <w:sz w:val="24"/>
          <w:szCs w:val="24"/>
        </w:rPr>
        <w:t xml:space="preserve"> </w:t>
      </w:r>
      <w:r>
        <w:rPr>
          <w:rFonts w:ascii="Arial" w:hAnsi="Arial" w:cs="Arial"/>
          <w:b/>
          <w:bCs/>
          <w:sz w:val="24"/>
          <w:szCs w:val="24"/>
        </w:rPr>
        <w:t xml:space="preserve">1) </w:t>
      </w:r>
      <w:r>
        <w:rPr>
          <w:rFonts w:ascii="Arial" w:hAnsi="Arial" w:cs="Arial"/>
          <w:sz w:val="24"/>
          <w:szCs w:val="24"/>
        </w:rPr>
        <w:t xml:space="preserve">que el dictamen citado fue de opinión adversa, señalándose que PLUNA E.A., al cierre del ejercicio 2012, </w:t>
      </w:r>
      <w:proofErr w:type="spellStart"/>
      <w:r>
        <w:rPr>
          <w:rFonts w:ascii="Arial" w:hAnsi="Arial" w:cs="Arial"/>
          <w:sz w:val="24"/>
          <w:szCs w:val="24"/>
        </w:rPr>
        <w:t>neteó</w:t>
      </w:r>
      <w:proofErr w:type="spellEnd"/>
      <w:r>
        <w:rPr>
          <w:rFonts w:ascii="Arial" w:hAnsi="Arial" w:cs="Arial"/>
          <w:sz w:val="24"/>
          <w:szCs w:val="24"/>
        </w:rPr>
        <w:t xml:space="preserve"> las cuentas activas y pasivas que mantenía con PLUNA S.A., determinando una ganancia por su participación en la misma; que, además, incumplió con la NIC 37, al no reconocer una provisión por su participación en PLUNA S.A., siendo mayor la probabilidad de existencia de la obligación, a la fecha de formulación de los Estados, que su inexistencia;</w:t>
      </w:r>
    </w:p>
    <w:p w:rsidR="00220B65" w:rsidRDefault="00043486" w:rsidP="001B4535">
      <w:pPr>
        <w:tabs>
          <w:tab w:val="left" w:pos="1701"/>
          <w:tab w:val="left" w:pos="2410"/>
          <w:tab w:val="left" w:pos="2835"/>
          <w:tab w:val="left" w:pos="2977"/>
        </w:tabs>
        <w:spacing w:after="0" w:line="360" w:lineRule="auto"/>
        <w:ind w:firstLine="2694"/>
        <w:jc w:val="both"/>
        <w:rPr>
          <w:rFonts w:ascii="Arial" w:hAnsi="Arial" w:cs="Arial"/>
          <w:sz w:val="24"/>
          <w:szCs w:val="24"/>
          <w:lang w:val="es-ES_tradnl"/>
        </w:rPr>
      </w:pPr>
      <w:r>
        <w:rPr>
          <w:rFonts w:ascii="Arial" w:hAnsi="Arial" w:cs="Arial"/>
          <w:b/>
          <w:bCs/>
          <w:sz w:val="24"/>
          <w:szCs w:val="24"/>
          <w:lang w:val="es-ES_tradnl"/>
        </w:rPr>
        <w:t xml:space="preserve"> </w:t>
      </w:r>
      <w:r w:rsidR="009A6736">
        <w:rPr>
          <w:rFonts w:ascii="Arial" w:hAnsi="Arial" w:cs="Arial"/>
          <w:b/>
          <w:bCs/>
          <w:sz w:val="24"/>
          <w:szCs w:val="24"/>
          <w:lang w:val="es-ES_tradnl"/>
        </w:rPr>
        <w:t xml:space="preserve">2) </w:t>
      </w:r>
      <w:r w:rsidR="009A6736">
        <w:rPr>
          <w:rFonts w:ascii="Arial" w:hAnsi="Arial" w:cs="Arial"/>
          <w:sz w:val="24"/>
          <w:szCs w:val="24"/>
          <w:lang w:val="es-ES_tradnl"/>
        </w:rPr>
        <w:t xml:space="preserve">que se adjunta al citado Oficio Nº 174/2013 un informe jurídico del Ente y la opinión de la firma </w:t>
      </w:r>
      <w:proofErr w:type="spellStart"/>
      <w:r w:rsidR="009A6736">
        <w:rPr>
          <w:rFonts w:ascii="Arial" w:hAnsi="Arial" w:cs="Arial"/>
          <w:sz w:val="24"/>
          <w:szCs w:val="24"/>
          <w:lang w:val="es-ES_tradnl"/>
        </w:rPr>
        <w:t>Deloitte</w:t>
      </w:r>
      <w:proofErr w:type="spellEnd"/>
      <w:r w:rsidR="009A6736">
        <w:rPr>
          <w:rFonts w:ascii="Arial" w:hAnsi="Arial" w:cs="Arial"/>
          <w:sz w:val="24"/>
          <w:szCs w:val="24"/>
          <w:lang w:val="es-ES_tradnl"/>
        </w:rPr>
        <w:t xml:space="preserve"> ante una consulta del Organismo sobre la aplicación de la NIC 37 con relación al tratamiento contable </w:t>
      </w:r>
      <w:r w:rsidR="009A6736" w:rsidRPr="003A2224">
        <w:rPr>
          <w:rFonts w:ascii="Arial" w:hAnsi="Arial" w:cs="Arial"/>
          <w:spacing w:val="-8"/>
          <w:sz w:val="24"/>
          <w:szCs w:val="24"/>
          <w:lang w:val="es-ES_tradnl"/>
        </w:rPr>
        <w:t>a seguir por parte de PLUNA E.A. por su participación accionaria en PLUNA</w:t>
      </w:r>
      <w:r w:rsidR="009A6736">
        <w:rPr>
          <w:rFonts w:ascii="Arial" w:hAnsi="Arial" w:cs="Arial"/>
          <w:sz w:val="24"/>
          <w:szCs w:val="24"/>
          <w:lang w:val="es-ES_tradnl"/>
        </w:rPr>
        <w:t xml:space="preserve"> S.A.</w:t>
      </w:r>
      <w:r w:rsidR="00220B65">
        <w:rPr>
          <w:rFonts w:ascii="Arial" w:hAnsi="Arial" w:cs="Arial"/>
          <w:sz w:val="24"/>
          <w:szCs w:val="24"/>
          <w:lang w:val="es-ES_tradnl"/>
        </w:rPr>
        <w:t>;</w:t>
      </w:r>
    </w:p>
    <w:p w:rsidR="00B747C6" w:rsidRDefault="00043486" w:rsidP="001B4535">
      <w:pPr>
        <w:tabs>
          <w:tab w:val="left" w:pos="1701"/>
          <w:tab w:val="left" w:pos="2410"/>
          <w:tab w:val="left" w:pos="2835"/>
          <w:tab w:val="left" w:pos="2977"/>
        </w:tabs>
        <w:spacing w:after="0" w:line="360" w:lineRule="auto"/>
        <w:ind w:firstLine="2694"/>
        <w:jc w:val="both"/>
        <w:rPr>
          <w:rFonts w:ascii="Arial" w:hAnsi="Arial" w:cs="Arial"/>
          <w:sz w:val="24"/>
          <w:szCs w:val="24"/>
          <w:lang w:val="es-ES_tradnl"/>
        </w:rPr>
      </w:pPr>
      <w:r>
        <w:rPr>
          <w:rFonts w:ascii="Arial" w:hAnsi="Arial" w:cs="Arial"/>
          <w:b/>
          <w:bCs/>
          <w:sz w:val="24"/>
          <w:szCs w:val="24"/>
          <w:lang w:val="es-ES_tradnl"/>
        </w:rPr>
        <w:t xml:space="preserve"> </w:t>
      </w:r>
      <w:r w:rsidR="009A6736">
        <w:rPr>
          <w:rFonts w:ascii="Arial" w:hAnsi="Arial" w:cs="Arial"/>
          <w:b/>
          <w:bCs/>
          <w:sz w:val="24"/>
          <w:szCs w:val="24"/>
          <w:lang w:val="es-ES_tradnl"/>
        </w:rPr>
        <w:t>3)</w:t>
      </w:r>
      <w:r w:rsidR="009A6736">
        <w:rPr>
          <w:rFonts w:ascii="Arial" w:hAnsi="Arial" w:cs="Arial"/>
          <w:sz w:val="24"/>
          <w:szCs w:val="24"/>
          <w:lang w:val="es-ES_tradnl"/>
        </w:rPr>
        <w:t xml:space="preserve"> que el Ente manifiesta que la NIC 37 debe relacionarse, en esta situación particular, a lo establecido por la NIC 28 la que en su párrafo 29 establece que “si la porción que corresponde al inversor en las pérdidas de la asociada iguala o excede la inversión que tiene en la misma, dejará de reconocer la parte que le pudiera corresponder en las pérdidas adicionales…”;</w:t>
      </w:r>
    </w:p>
    <w:p w:rsidR="00B747C6" w:rsidRDefault="001B4535" w:rsidP="001B4535">
      <w:pPr>
        <w:tabs>
          <w:tab w:val="left" w:pos="1701"/>
          <w:tab w:val="left" w:pos="2410"/>
          <w:tab w:val="left" w:pos="2835"/>
          <w:tab w:val="left" w:pos="2977"/>
        </w:tabs>
        <w:spacing w:after="0" w:line="360" w:lineRule="auto"/>
        <w:ind w:firstLine="2694"/>
        <w:jc w:val="both"/>
        <w:rPr>
          <w:rFonts w:ascii="Arial" w:hAnsi="Arial" w:cs="Arial"/>
          <w:sz w:val="24"/>
          <w:szCs w:val="24"/>
          <w:lang w:val="es-ES_tradnl"/>
        </w:rPr>
      </w:pPr>
      <w:r>
        <w:rPr>
          <w:rFonts w:ascii="Arial" w:hAnsi="Arial" w:cs="Arial"/>
          <w:b/>
          <w:bCs/>
          <w:sz w:val="24"/>
          <w:szCs w:val="24"/>
          <w:lang w:val="es-ES_tradnl"/>
        </w:rPr>
        <w:lastRenderedPageBreak/>
        <w:t xml:space="preserve"> </w:t>
      </w:r>
      <w:r w:rsidR="009A6736">
        <w:rPr>
          <w:rFonts w:ascii="Arial" w:hAnsi="Arial" w:cs="Arial"/>
          <w:b/>
          <w:bCs/>
          <w:sz w:val="24"/>
          <w:szCs w:val="24"/>
          <w:lang w:val="es-ES_tradnl"/>
        </w:rPr>
        <w:t xml:space="preserve">4) </w:t>
      </w:r>
      <w:r w:rsidR="009A6736">
        <w:rPr>
          <w:rFonts w:ascii="Arial" w:hAnsi="Arial" w:cs="Arial"/>
          <w:sz w:val="24"/>
          <w:szCs w:val="24"/>
          <w:lang w:val="es-ES_tradnl"/>
        </w:rPr>
        <w:t>que asimismo expresa que PLUNA E.A. cumplió con dicha norma y que no existían obligaciones legales o implícitas que pudieran justificar el reconocimiento de pasivo alguno;</w:t>
      </w:r>
    </w:p>
    <w:p w:rsidR="00B747C6" w:rsidRDefault="001B4535" w:rsidP="001B4535">
      <w:pPr>
        <w:tabs>
          <w:tab w:val="left" w:pos="1701"/>
          <w:tab w:val="left" w:pos="2410"/>
          <w:tab w:val="left" w:pos="2835"/>
          <w:tab w:val="left" w:pos="2977"/>
        </w:tabs>
        <w:spacing w:after="0" w:line="360" w:lineRule="auto"/>
        <w:ind w:firstLine="2694"/>
        <w:jc w:val="both"/>
        <w:rPr>
          <w:rFonts w:ascii="Arial" w:hAnsi="Arial" w:cs="Arial"/>
          <w:sz w:val="24"/>
          <w:szCs w:val="24"/>
          <w:lang w:val="es-ES_tradnl"/>
        </w:rPr>
      </w:pPr>
      <w:r>
        <w:rPr>
          <w:rFonts w:ascii="Arial" w:hAnsi="Arial" w:cs="Arial"/>
          <w:b/>
          <w:bCs/>
          <w:sz w:val="24"/>
          <w:szCs w:val="24"/>
          <w:lang w:val="es-ES_tradnl"/>
        </w:rPr>
        <w:t xml:space="preserve"> </w:t>
      </w:r>
      <w:r w:rsidR="009A6736">
        <w:rPr>
          <w:rFonts w:ascii="Arial" w:hAnsi="Arial" w:cs="Arial"/>
          <w:b/>
          <w:bCs/>
          <w:sz w:val="24"/>
          <w:szCs w:val="24"/>
          <w:lang w:val="es-ES_tradnl"/>
        </w:rPr>
        <w:t xml:space="preserve">5) </w:t>
      </w:r>
      <w:r w:rsidR="009A6736">
        <w:rPr>
          <w:rFonts w:ascii="Arial" w:hAnsi="Arial" w:cs="Arial"/>
          <w:sz w:val="24"/>
          <w:szCs w:val="24"/>
          <w:lang w:val="es-ES_tradnl"/>
        </w:rPr>
        <w:t xml:space="preserve">que en el informe elaborado por </w:t>
      </w:r>
      <w:proofErr w:type="spellStart"/>
      <w:r w:rsidR="009A6736">
        <w:rPr>
          <w:rFonts w:ascii="Arial" w:hAnsi="Arial" w:cs="Arial"/>
          <w:sz w:val="24"/>
          <w:szCs w:val="24"/>
          <w:lang w:val="es-ES_tradnl"/>
        </w:rPr>
        <w:t>Deloitte</w:t>
      </w:r>
      <w:proofErr w:type="spellEnd"/>
      <w:r w:rsidR="009A6736">
        <w:rPr>
          <w:rFonts w:ascii="Arial" w:hAnsi="Arial" w:cs="Arial"/>
          <w:sz w:val="24"/>
          <w:szCs w:val="24"/>
          <w:lang w:val="es-ES_tradnl"/>
        </w:rPr>
        <w:t xml:space="preserve"> se considera que </w:t>
      </w:r>
      <w:r w:rsidR="009A6736">
        <w:rPr>
          <w:rFonts w:ascii="Arial" w:hAnsi="Arial" w:cs="Arial"/>
          <w:i/>
          <w:iCs/>
          <w:sz w:val="24"/>
          <w:szCs w:val="24"/>
          <w:lang w:val="es-ES_tradnl"/>
        </w:rPr>
        <w:t>“si bien este tipo de situaciones implican la aplicación de juicio profesional por parte de los responsables de la emisión de los estados contables; no vemos elementos de juicio que puedan respaldar la asignación de un mayor grado de probabilidad de ocurrencia que de no ocurrencia (párrafo 13.(b).(i) antes descrito) y/o que el importe en cuestión pueda ser determinado en forma suficientemente confiable (párrafo 13.(b).(ii) antes descrito); lo que nos llevaría a concluir que no corresponde el reconocimiento de una provisión (pasivo) en los estados contables de PEA al 31 de diciembre de 2012, pero la situación planteada podría ser objeto de revelación mediante nota a los mismos.</w:t>
      </w:r>
      <w:r w:rsidR="009A6736">
        <w:rPr>
          <w:rFonts w:ascii="Arial" w:hAnsi="Arial" w:cs="Arial"/>
          <w:sz w:val="24"/>
          <w:szCs w:val="24"/>
          <w:lang w:val="es-ES_tradnl"/>
        </w:rPr>
        <w:t xml:space="preserve">” ……. y de que </w:t>
      </w:r>
      <w:r w:rsidR="009A6736">
        <w:rPr>
          <w:rFonts w:ascii="Arial" w:hAnsi="Arial" w:cs="Arial"/>
          <w:i/>
          <w:iCs/>
          <w:sz w:val="24"/>
          <w:szCs w:val="24"/>
          <w:lang w:val="es-ES_tradnl"/>
        </w:rPr>
        <w:t>“como no somos los auditores de PEA ni de PLUNA S.A. otras circunstancias o compromisos asumidos podrían existir que no sean objeto de esta consulta”;</w:t>
      </w:r>
    </w:p>
    <w:p w:rsidR="00B747C6" w:rsidRDefault="001B4535" w:rsidP="001B4535">
      <w:pPr>
        <w:tabs>
          <w:tab w:val="left" w:pos="1701"/>
          <w:tab w:val="left" w:pos="2410"/>
          <w:tab w:val="left" w:pos="2835"/>
          <w:tab w:val="left" w:pos="2977"/>
        </w:tabs>
        <w:spacing w:after="0" w:line="360" w:lineRule="auto"/>
        <w:ind w:firstLine="2694"/>
        <w:jc w:val="both"/>
        <w:rPr>
          <w:rFonts w:ascii="Arial" w:hAnsi="Arial" w:cs="Arial"/>
          <w:sz w:val="24"/>
          <w:szCs w:val="24"/>
          <w:lang w:val="es-ES_tradnl"/>
        </w:rPr>
      </w:pPr>
      <w:r>
        <w:rPr>
          <w:rFonts w:ascii="Arial" w:hAnsi="Arial" w:cs="Arial"/>
          <w:b/>
          <w:bCs/>
          <w:sz w:val="24"/>
          <w:szCs w:val="24"/>
          <w:lang w:val="es-ES_tradnl"/>
        </w:rPr>
        <w:t xml:space="preserve"> </w:t>
      </w:r>
      <w:r w:rsidR="009A6736">
        <w:rPr>
          <w:rFonts w:ascii="Arial" w:hAnsi="Arial" w:cs="Arial"/>
          <w:b/>
          <w:bCs/>
          <w:sz w:val="24"/>
          <w:szCs w:val="24"/>
          <w:lang w:val="es-ES_tradnl"/>
        </w:rPr>
        <w:t xml:space="preserve">6) </w:t>
      </w:r>
      <w:r w:rsidR="009A6736">
        <w:rPr>
          <w:rFonts w:ascii="Arial" w:hAnsi="Arial" w:cs="Arial"/>
          <w:sz w:val="24"/>
          <w:szCs w:val="24"/>
          <w:lang w:val="es-ES_tradnl"/>
        </w:rPr>
        <w:t xml:space="preserve">que, con fecha 14/06/07, PLUNA S.A. había acordado con </w:t>
      </w:r>
      <w:proofErr w:type="spellStart"/>
      <w:r w:rsidR="009A6736">
        <w:rPr>
          <w:rFonts w:ascii="Arial" w:hAnsi="Arial" w:cs="Arial"/>
          <w:sz w:val="24"/>
          <w:szCs w:val="24"/>
          <w:lang w:val="es-ES_tradnl"/>
        </w:rPr>
        <w:t>Bombardier</w:t>
      </w:r>
      <w:proofErr w:type="spellEnd"/>
      <w:r w:rsidR="009A6736">
        <w:rPr>
          <w:rFonts w:ascii="Arial" w:hAnsi="Arial" w:cs="Arial"/>
          <w:sz w:val="24"/>
          <w:szCs w:val="24"/>
          <w:lang w:val="es-ES_tradnl"/>
        </w:rPr>
        <w:t xml:space="preserve"> INC. </w:t>
      </w:r>
      <w:proofErr w:type="gramStart"/>
      <w:r w:rsidR="009A6736">
        <w:rPr>
          <w:rFonts w:ascii="Arial" w:hAnsi="Arial" w:cs="Arial"/>
          <w:sz w:val="24"/>
          <w:szCs w:val="24"/>
          <w:lang w:val="es-ES_tradnl"/>
        </w:rPr>
        <w:t>la</w:t>
      </w:r>
      <w:proofErr w:type="gramEnd"/>
      <w:r w:rsidR="009A6736">
        <w:rPr>
          <w:rFonts w:ascii="Arial" w:hAnsi="Arial" w:cs="Arial"/>
          <w:sz w:val="24"/>
          <w:szCs w:val="24"/>
          <w:lang w:val="es-ES_tradnl"/>
        </w:rPr>
        <w:t xml:space="preserve"> compra de siete (7) aviones </w:t>
      </w:r>
      <w:proofErr w:type="spellStart"/>
      <w:r w:rsidR="009A6736">
        <w:rPr>
          <w:rFonts w:ascii="Arial" w:hAnsi="Arial" w:cs="Arial"/>
          <w:sz w:val="24"/>
          <w:szCs w:val="24"/>
          <w:lang w:val="es-ES_tradnl"/>
        </w:rPr>
        <w:t>Bombardier</w:t>
      </w:r>
      <w:proofErr w:type="spellEnd"/>
      <w:r w:rsidR="009A6736">
        <w:rPr>
          <w:rFonts w:ascii="Arial" w:hAnsi="Arial" w:cs="Arial"/>
          <w:sz w:val="24"/>
          <w:szCs w:val="24"/>
          <w:lang w:val="es-ES_tradnl"/>
        </w:rPr>
        <w:t xml:space="preserve">  serie CRJ900, cuyo pago se efectivizó con un crédito solicitado a </w:t>
      </w:r>
      <w:proofErr w:type="spellStart"/>
      <w:r w:rsidR="009A6736">
        <w:rPr>
          <w:rFonts w:ascii="Arial" w:hAnsi="Arial" w:cs="Arial"/>
          <w:sz w:val="24"/>
          <w:szCs w:val="24"/>
          <w:lang w:val="es-ES_tradnl"/>
        </w:rPr>
        <w:t>The</w:t>
      </w:r>
      <w:proofErr w:type="spellEnd"/>
      <w:r w:rsidR="009A6736">
        <w:rPr>
          <w:rFonts w:ascii="Arial" w:hAnsi="Arial" w:cs="Arial"/>
          <w:sz w:val="24"/>
          <w:szCs w:val="24"/>
          <w:lang w:val="es-ES_tradnl"/>
        </w:rPr>
        <w:t xml:space="preserve"> Bank of Nova </w:t>
      </w:r>
      <w:proofErr w:type="spellStart"/>
      <w:r w:rsidR="009A6736">
        <w:rPr>
          <w:rFonts w:ascii="Arial" w:hAnsi="Arial" w:cs="Arial"/>
          <w:sz w:val="24"/>
          <w:szCs w:val="24"/>
          <w:lang w:val="es-ES_tradnl"/>
        </w:rPr>
        <w:t>Scotia</w:t>
      </w:r>
      <w:proofErr w:type="spellEnd"/>
      <w:r w:rsidR="009A6736">
        <w:rPr>
          <w:rFonts w:ascii="Arial" w:hAnsi="Arial" w:cs="Arial"/>
          <w:sz w:val="24"/>
          <w:szCs w:val="24"/>
          <w:lang w:val="es-ES_tradnl"/>
        </w:rPr>
        <w:t xml:space="preserve"> por un monto aproximado de U$S 177.000.000, cuyas condiciones fueron especificadas en el acuerdo de préstamo (</w:t>
      </w:r>
      <w:proofErr w:type="spellStart"/>
      <w:r w:rsidR="009A6736">
        <w:rPr>
          <w:rFonts w:ascii="Arial" w:hAnsi="Arial" w:cs="Arial"/>
          <w:sz w:val="24"/>
          <w:szCs w:val="24"/>
          <w:lang w:val="es-ES_tradnl"/>
        </w:rPr>
        <w:t>Credit</w:t>
      </w:r>
      <w:proofErr w:type="spellEnd"/>
      <w:r w:rsidR="009A6736">
        <w:rPr>
          <w:rFonts w:ascii="Arial" w:hAnsi="Arial" w:cs="Arial"/>
          <w:sz w:val="24"/>
          <w:szCs w:val="24"/>
          <w:lang w:val="es-ES_tradnl"/>
        </w:rPr>
        <w:t xml:space="preserve"> </w:t>
      </w:r>
      <w:proofErr w:type="spellStart"/>
      <w:r w:rsidR="009A6736">
        <w:rPr>
          <w:rFonts w:ascii="Arial" w:hAnsi="Arial" w:cs="Arial"/>
          <w:sz w:val="24"/>
          <w:szCs w:val="24"/>
          <w:lang w:val="es-ES_tradnl"/>
        </w:rPr>
        <w:t>Agreement</w:t>
      </w:r>
      <w:proofErr w:type="spellEnd"/>
      <w:r w:rsidR="009A6736">
        <w:rPr>
          <w:rFonts w:ascii="Arial" w:hAnsi="Arial" w:cs="Arial"/>
          <w:sz w:val="24"/>
          <w:szCs w:val="24"/>
          <w:lang w:val="es-ES_tradnl"/>
        </w:rPr>
        <w:t>). En garantía de las obligaciones asumidas por PLUNA S.A bajo el acuerdo de préstamo, con fecha 21/01/08 PLUNA E.A. emitió una fianza solidaria denominada “</w:t>
      </w:r>
      <w:proofErr w:type="spellStart"/>
      <w:r w:rsidR="009A6736">
        <w:rPr>
          <w:rFonts w:ascii="Arial" w:hAnsi="Arial" w:cs="Arial"/>
          <w:sz w:val="24"/>
          <w:szCs w:val="24"/>
          <w:lang w:val="es-ES_tradnl"/>
        </w:rPr>
        <w:t>Guaranty</w:t>
      </w:r>
      <w:proofErr w:type="spellEnd"/>
      <w:r w:rsidR="009A6736">
        <w:rPr>
          <w:rFonts w:ascii="Arial" w:hAnsi="Arial" w:cs="Arial"/>
          <w:sz w:val="24"/>
          <w:szCs w:val="24"/>
          <w:lang w:val="es-ES_tradnl"/>
        </w:rPr>
        <w:t xml:space="preserve"> </w:t>
      </w:r>
      <w:proofErr w:type="spellStart"/>
      <w:r w:rsidR="009A6736">
        <w:rPr>
          <w:rFonts w:ascii="Arial" w:hAnsi="Arial" w:cs="Arial"/>
          <w:sz w:val="24"/>
          <w:szCs w:val="24"/>
          <w:lang w:val="es-ES_tradnl"/>
        </w:rPr>
        <w:t>Agreement</w:t>
      </w:r>
      <w:proofErr w:type="spellEnd"/>
      <w:r w:rsidR="009A6736">
        <w:rPr>
          <w:rFonts w:ascii="Arial" w:hAnsi="Arial" w:cs="Arial"/>
          <w:sz w:val="24"/>
          <w:szCs w:val="24"/>
          <w:lang w:val="es-ES_tradnl"/>
        </w:rPr>
        <w:t>”, ratificada por el Estado Uruguayo mediante un documento denominado “</w:t>
      </w:r>
      <w:proofErr w:type="spellStart"/>
      <w:r w:rsidR="009A6736">
        <w:rPr>
          <w:rFonts w:ascii="Arial" w:hAnsi="Arial" w:cs="Arial"/>
          <w:sz w:val="24"/>
          <w:szCs w:val="24"/>
          <w:lang w:val="es-ES_tradnl"/>
        </w:rPr>
        <w:t>Ratification</w:t>
      </w:r>
      <w:proofErr w:type="spellEnd"/>
      <w:r w:rsidR="009A6736">
        <w:rPr>
          <w:rFonts w:ascii="Arial" w:hAnsi="Arial" w:cs="Arial"/>
          <w:sz w:val="24"/>
          <w:szCs w:val="24"/>
          <w:lang w:val="es-ES_tradnl"/>
        </w:rPr>
        <w:t xml:space="preserve"> </w:t>
      </w:r>
      <w:proofErr w:type="spellStart"/>
      <w:r w:rsidR="009A6736">
        <w:rPr>
          <w:rFonts w:ascii="Arial" w:hAnsi="Arial" w:cs="Arial"/>
          <w:sz w:val="24"/>
          <w:szCs w:val="24"/>
          <w:lang w:val="es-ES_tradnl"/>
        </w:rPr>
        <w:t>agreement</w:t>
      </w:r>
      <w:proofErr w:type="spellEnd"/>
      <w:r w:rsidR="009A6736">
        <w:rPr>
          <w:rFonts w:ascii="Arial" w:hAnsi="Arial" w:cs="Arial"/>
          <w:sz w:val="24"/>
          <w:szCs w:val="24"/>
          <w:lang w:val="es-ES_tradnl"/>
        </w:rPr>
        <w:t>” (Acuerdo de Ratificación);</w:t>
      </w:r>
    </w:p>
    <w:p w:rsidR="00B747C6" w:rsidRDefault="001B4535" w:rsidP="001B4535">
      <w:pPr>
        <w:tabs>
          <w:tab w:val="left" w:pos="1701"/>
          <w:tab w:val="left" w:pos="2410"/>
          <w:tab w:val="left" w:pos="2835"/>
          <w:tab w:val="left" w:pos="2977"/>
        </w:tabs>
        <w:spacing w:after="0" w:line="360" w:lineRule="auto"/>
        <w:ind w:firstLine="2694"/>
        <w:jc w:val="both"/>
        <w:rPr>
          <w:rFonts w:ascii="Arial" w:hAnsi="Arial" w:cs="Arial"/>
          <w:sz w:val="24"/>
          <w:szCs w:val="24"/>
        </w:rPr>
      </w:pPr>
      <w:r>
        <w:rPr>
          <w:rFonts w:ascii="Arial" w:hAnsi="Arial" w:cs="Arial"/>
          <w:b/>
          <w:bCs/>
          <w:sz w:val="24"/>
          <w:szCs w:val="24"/>
        </w:rPr>
        <w:t xml:space="preserve"> </w:t>
      </w:r>
      <w:r w:rsidR="009A6736" w:rsidRPr="00B747C6">
        <w:rPr>
          <w:rFonts w:ascii="Arial" w:hAnsi="Arial" w:cs="Arial"/>
          <w:b/>
          <w:bCs/>
          <w:sz w:val="24"/>
          <w:szCs w:val="24"/>
        </w:rPr>
        <w:t xml:space="preserve">7) </w:t>
      </w:r>
      <w:r w:rsidR="009A6736" w:rsidRPr="00B747C6">
        <w:rPr>
          <w:rFonts w:ascii="Arial" w:hAnsi="Arial" w:cs="Arial"/>
          <w:sz w:val="24"/>
          <w:szCs w:val="24"/>
        </w:rPr>
        <w:t xml:space="preserve">con fecha 13/06/07 se había suscrito el “Acuerdo para el Cierre de la Transacción” entre PLUNA E.A., PLUNA S.A., </w:t>
      </w:r>
      <w:proofErr w:type="spellStart"/>
      <w:r w:rsidR="009A6736" w:rsidRPr="00B747C6">
        <w:rPr>
          <w:rFonts w:ascii="Arial" w:hAnsi="Arial" w:cs="Arial"/>
          <w:sz w:val="24"/>
          <w:szCs w:val="24"/>
        </w:rPr>
        <w:t>Leadgate</w:t>
      </w:r>
      <w:proofErr w:type="spellEnd"/>
      <w:r w:rsidR="009A6736" w:rsidRPr="00B747C6">
        <w:rPr>
          <w:rFonts w:ascii="Arial" w:hAnsi="Arial" w:cs="Arial"/>
          <w:sz w:val="24"/>
          <w:szCs w:val="24"/>
        </w:rPr>
        <w:t xml:space="preserve"> y el Estado Uruguayo, en el cual se pactó que PLUNA E.A. y el Estado se obligaban como deudores solidarios a responder por los Pasivos no asumidos y no solo por los créditos incobrables, por lo que, desde esa fecha, PLUNA E.A ha abonado todos los compromisos contraídos, entre ellos, acuerdos extrajudiciales y convenios con </w:t>
      </w:r>
      <w:proofErr w:type="spellStart"/>
      <w:r w:rsidR="009A6736" w:rsidRPr="00B747C6">
        <w:rPr>
          <w:rFonts w:ascii="Arial" w:hAnsi="Arial" w:cs="Arial"/>
          <w:sz w:val="24"/>
          <w:szCs w:val="24"/>
        </w:rPr>
        <w:t>ex_fu</w:t>
      </w:r>
      <w:r w:rsidR="00B747C6">
        <w:rPr>
          <w:rFonts w:ascii="Arial" w:hAnsi="Arial" w:cs="Arial"/>
          <w:sz w:val="24"/>
          <w:szCs w:val="24"/>
        </w:rPr>
        <w:t>ncionarios</w:t>
      </w:r>
      <w:proofErr w:type="spellEnd"/>
      <w:r w:rsidR="00B747C6">
        <w:rPr>
          <w:rFonts w:ascii="Arial" w:hAnsi="Arial" w:cs="Arial"/>
          <w:sz w:val="24"/>
          <w:szCs w:val="24"/>
        </w:rPr>
        <w:t>;</w:t>
      </w:r>
    </w:p>
    <w:p w:rsidR="009A6736" w:rsidRPr="00B747C6" w:rsidRDefault="001B4535" w:rsidP="001B4535">
      <w:pPr>
        <w:tabs>
          <w:tab w:val="left" w:pos="1701"/>
          <w:tab w:val="left" w:pos="2410"/>
          <w:tab w:val="left" w:pos="2835"/>
          <w:tab w:val="left" w:pos="2977"/>
        </w:tabs>
        <w:spacing w:after="0" w:line="360" w:lineRule="auto"/>
        <w:ind w:firstLine="2694"/>
        <w:jc w:val="both"/>
        <w:rPr>
          <w:rFonts w:ascii="Arial" w:hAnsi="Arial" w:cs="Arial"/>
          <w:sz w:val="24"/>
          <w:szCs w:val="24"/>
          <w:lang w:val="es-ES_tradnl"/>
        </w:rPr>
      </w:pPr>
      <w:r>
        <w:rPr>
          <w:rFonts w:ascii="Arial" w:hAnsi="Arial" w:cs="Arial"/>
          <w:b/>
          <w:bCs/>
          <w:sz w:val="24"/>
          <w:szCs w:val="24"/>
        </w:rPr>
        <w:t xml:space="preserve"> </w:t>
      </w:r>
      <w:r w:rsidR="009A6736" w:rsidRPr="00B747C6">
        <w:rPr>
          <w:rFonts w:ascii="Arial" w:hAnsi="Arial" w:cs="Arial"/>
          <w:b/>
          <w:bCs/>
          <w:sz w:val="24"/>
          <w:szCs w:val="24"/>
        </w:rPr>
        <w:t>8)</w:t>
      </w:r>
      <w:r w:rsidR="009A6736" w:rsidRPr="00B747C6">
        <w:rPr>
          <w:rFonts w:ascii="Arial" w:hAnsi="Arial" w:cs="Arial"/>
          <w:sz w:val="24"/>
          <w:szCs w:val="24"/>
        </w:rPr>
        <w:t xml:space="preserve"> que, por Oficio Nº 383/11 del 19/07/11, la Gerencia de la División Jurídica del Ente pone en conocimiento del Directorio la situación por la cual </w:t>
      </w:r>
      <w:r w:rsidR="009A6736" w:rsidRPr="00B747C6">
        <w:rPr>
          <w:rFonts w:ascii="Arial" w:hAnsi="Arial" w:cs="Arial"/>
          <w:i/>
          <w:iCs/>
          <w:sz w:val="24"/>
          <w:szCs w:val="24"/>
        </w:rPr>
        <w:t xml:space="preserve">“algunos ex  trabajadores de VARIG que no pudieron cobrar sus derechos en la quiebra de la empresa, han alegado la existencia de un Grupo o Conjunto Económico de Empresas que habría estado conformado por VARIG, otras empresas o sociedades comerciales relacionadas, entre las que ha incluido a PLUNA S.A… En base a esta teoría, se ha afirmado la solidaridad pasiva de todas las Empresas integrantes de un mismo Grupo o Conjunto Económico a los efectos de cumplimiento de ciertas obligaciones-laborales, tributarias, etc.- por lo que existiendo tal Conjunto o Grupo de Empresas, cualquiera de ellas está </w:t>
      </w:r>
      <w:proofErr w:type="gramStart"/>
      <w:r w:rsidR="009A6736" w:rsidRPr="00B747C6">
        <w:rPr>
          <w:rFonts w:ascii="Arial" w:hAnsi="Arial" w:cs="Arial"/>
          <w:i/>
          <w:iCs/>
          <w:sz w:val="24"/>
          <w:szCs w:val="24"/>
        </w:rPr>
        <w:t>obligada</w:t>
      </w:r>
      <w:proofErr w:type="gramEnd"/>
      <w:r w:rsidR="009A6736" w:rsidRPr="00B747C6">
        <w:rPr>
          <w:rFonts w:ascii="Arial" w:hAnsi="Arial" w:cs="Arial"/>
          <w:i/>
          <w:iCs/>
          <w:sz w:val="24"/>
          <w:szCs w:val="24"/>
        </w:rPr>
        <w:t xml:space="preserve"> a atender el 100% de las obligaciones de cualquier integrante del mismo. Se estima que en su totalidad existen más de 7.000 acreedores laborales de VARIG cuyo crédito no ha sido satisfecho, al tiempo que al menos 4.000 de ellos ya han promovido diferentes procesos judiciales en diversos Estados de Brasil. Ante la magnitud del riesgo, se entendió prudente contratar al estudio “</w:t>
      </w:r>
      <w:proofErr w:type="spellStart"/>
      <w:r w:rsidR="009A6736" w:rsidRPr="00B747C6">
        <w:rPr>
          <w:rFonts w:ascii="Arial" w:hAnsi="Arial" w:cs="Arial"/>
          <w:i/>
          <w:iCs/>
          <w:sz w:val="24"/>
          <w:szCs w:val="24"/>
        </w:rPr>
        <w:t>Pinheiro</w:t>
      </w:r>
      <w:proofErr w:type="spellEnd"/>
      <w:r w:rsidR="009A6736" w:rsidRPr="00B747C6">
        <w:rPr>
          <w:rFonts w:ascii="Arial" w:hAnsi="Arial" w:cs="Arial"/>
          <w:i/>
          <w:iCs/>
          <w:sz w:val="24"/>
          <w:szCs w:val="24"/>
        </w:rPr>
        <w:t xml:space="preserve"> </w:t>
      </w:r>
      <w:proofErr w:type="spellStart"/>
      <w:r w:rsidR="009A6736" w:rsidRPr="00B747C6">
        <w:rPr>
          <w:rFonts w:ascii="Arial" w:hAnsi="Arial" w:cs="Arial"/>
          <w:i/>
          <w:iCs/>
          <w:sz w:val="24"/>
          <w:szCs w:val="24"/>
        </w:rPr>
        <w:t>Netto</w:t>
      </w:r>
      <w:proofErr w:type="spellEnd"/>
      <w:r w:rsidR="009A6736" w:rsidRPr="00B747C6">
        <w:rPr>
          <w:rFonts w:ascii="Arial" w:hAnsi="Arial" w:cs="Arial"/>
          <w:i/>
          <w:iCs/>
          <w:sz w:val="24"/>
          <w:szCs w:val="24"/>
        </w:rPr>
        <w:t>”.”</w:t>
      </w:r>
      <w:r w:rsidR="009A6736" w:rsidRPr="00B747C6">
        <w:rPr>
          <w:rFonts w:ascii="Arial" w:hAnsi="Arial" w:cs="Arial"/>
          <w:sz w:val="24"/>
          <w:szCs w:val="24"/>
        </w:rPr>
        <w:t xml:space="preserve"> E</w:t>
      </w:r>
      <w:r w:rsidR="009A6736" w:rsidRPr="00B747C6">
        <w:rPr>
          <w:rFonts w:ascii="Arial" w:hAnsi="Arial" w:cs="Arial"/>
          <w:color w:val="000000"/>
          <w:sz w:val="24"/>
          <w:szCs w:val="24"/>
        </w:rPr>
        <w:t xml:space="preserve">n marzo del 2012 el Ente contrató  al Estudio </w:t>
      </w:r>
      <w:proofErr w:type="spellStart"/>
      <w:r w:rsidR="009A6736" w:rsidRPr="00B747C6">
        <w:rPr>
          <w:rFonts w:ascii="Arial" w:hAnsi="Arial" w:cs="Arial"/>
          <w:color w:val="000000"/>
          <w:sz w:val="24"/>
          <w:szCs w:val="24"/>
        </w:rPr>
        <w:t>Ferrere</w:t>
      </w:r>
      <w:proofErr w:type="spellEnd"/>
      <w:r w:rsidR="009A6736" w:rsidRPr="00B747C6">
        <w:rPr>
          <w:rFonts w:ascii="Arial" w:hAnsi="Arial" w:cs="Arial"/>
          <w:color w:val="000000"/>
          <w:sz w:val="24"/>
          <w:szCs w:val="24"/>
        </w:rPr>
        <w:t xml:space="preserve"> Abogados y al Estudio Jurídico “</w:t>
      </w:r>
      <w:proofErr w:type="spellStart"/>
      <w:r w:rsidR="009A6736" w:rsidRPr="00B747C6">
        <w:rPr>
          <w:rFonts w:ascii="Arial" w:hAnsi="Arial" w:cs="Arial"/>
          <w:color w:val="000000"/>
          <w:sz w:val="24"/>
          <w:szCs w:val="24"/>
        </w:rPr>
        <w:t>Pinheiro</w:t>
      </w:r>
      <w:proofErr w:type="spellEnd"/>
      <w:r w:rsidR="009A6736" w:rsidRPr="00B747C6">
        <w:rPr>
          <w:rFonts w:ascii="Arial" w:hAnsi="Arial" w:cs="Arial"/>
          <w:color w:val="000000"/>
          <w:sz w:val="24"/>
          <w:szCs w:val="24"/>
        </w:rPr>
        <w:t xml:space="preserve"> Neto”  a los efectos de brindarle asesoramiento respecto a los juicios iniciados en Brasil por ex trabajadores de </w:t>
      </w:r>
      <w:proofErr w:type="spellStart"/>
      <w:r w:rsidR="009A6736" w:rsidRPr="00B747C6">
        <w:rPr>
          <w:rFonts w:ascii="Arial" w:hAnsi="Arial" w:cs="Arial"/>
          <w:color w:val="000000"/>
          <w:sz w:val="24"/>
          <w:szCs w:val="24"/>
        </w:rPr>
        <w:t>Varig</w:t>
      </w:r>
      <w:proofErr w:type="spellEnd"/>
      <w:r w:rsidR="009A6736" w:rsidRPr="00B747C6">
        <w:rPr>
          <w:rFonts w:ascii="Arial" w:hAnsi="Arial" w:cs="Arial"/>
          <w:color w:val="000000"/>
          <w:sz w:val="24"/>
          <w:szCs w:val="24"/>
        </w:rPr>
        <w:t xml:space="preserve">. </w:t>
      </w:r>
      <w:r w:rsidR="009A6736" w:rsidRPr="00B747C6">
        <w:rPr>
          <w:rFonts w:ascii="Arial" w:hAnsi="Arial" w:cs="Arial"/>
          <w:sz w:val="24"/>
          <w:szCs w:val="24"/>
        </w:rPr>
        <w:t xml:space="preserve">Con fecha 10/07/12  el equipo auditor solicitó a la Secretaría de Directorio se proporcionaran los informes realizados por el Estudio </w:t>
      </w:r>
      <w:proofErr w:type="spellStart"/>
      <w:r w:rsidR="009A6736" w:rsidRPr="00B747C6">
        <w:rPr>
          <w:rFonts w:ascii="Arial" w:hAnsi="Arial" w:cs="Arial"/>
          <w:sz w:val="24"/>
          <w:szCs w:val="24"/>
        </w:rPr>
        <w:t>Pinheiro</w:t>
      </w:r>
      <w:proofErr w:type="spellEnd"/>
      <w:r w:rsidR="009A6736" w:rsidRPr="00B747C6">
        <w:rPr>
          <w:rFonts w:ascii="Arial" w:hAnsi="Arial" w:cs="Arial"/>
          <w:sz w:val="24"/>
          <w:szCs w:val="24"/>
        </w:rPr>
        <w:t xml:space="preserve"> </w:t>
      </w:r>
      <w:proofErr w:type="spellStart"/>
      <w:r w:rsidR="009A6736" w:rsidRPr="00B747C6">
        <w:rPr>
          <w:rFonts w:ascii="Arial" w:hAnsi="Arial" w:cs="Arial"/>
          <w:sz w:val="24"/>
          <w:szCs w:val="24"/>
        </w:rPr>
        <w:t>Netto</w:t>
      </w:r>
      <w:proofErr w:type="spellEnd"/>
      <w:r w:rsidR="009A6736" w:rsidRPr="00B747C6">
        <w:rPr>
          <w:rFonts w:ascii="Arial" w:hAnsi="Arial" w:cs="Arial"/>
          <w:sz w:val="24"/>
          <w:szCs w:val="24"/>
        </w:rPr>
        <w:t xml:space="preserve"> de Brasil, así como la información oficial del monto de los juicios que recaen sobre PLUNA de los ex trabajadores de </w:t>
      </w:r>
      <w:proofErr w:type="spellStart"/>
      <w:r w:rsidR="009A6736" w:rsidRPr="00B747C6">
        <w:rPr>
          <w:rFonts w:ascii="Arial" w:hAnsi="Arial" w:cs="Arial"/>
          <w:sz w:val="24"/>
          <w:szCs w:val="24"/>
        </w:rPr>
        <w:t>Varig</w:t>
      </w:r>
      <w:proofErr w:type="spellEnd"/>
      <w:r w:rsidR="009A6736" w:rsidRPr="00B747C6">
        <w:rPr>
          <w:rFonts w:ascii="Arial" w:hAnsi="Arial" w:cs="Arial"/>
          <w:sz w:val="24"/>
          <w:szCs w:val="24"/>
        </w:rPr>
        <w:t>, información que no fue remitida;</w:t>
      </w:r>
    </w:p>
    <w:p w:rsidR="009A6736" w:rsidRDefault="001B4535" w:rsidP="001B4535">
      <w:pPr>
        <w:pStyle w:val="Prrafodelista"/>
        <w:tabs>
          <w:tab w:val="left" w:pos="0"/>
        </w:tabs>
        <w:spacing w:after="0" w:line="360" w:lineRule="auto"/>
        <w:ind w:left="0" w:firstLine="2694"/>
        <w:jc w:val="both"/>
        <w:rPr>
          <w:rFonts w:ascii="Arial" w:hAnsi="Arial" w:cs="Arial"/>
          <w:sz w:val="24"/>
          <w:szCs w:val="24"/>
        </w:rPr>
      </w:pPr>
      <w:r>
        <w:rPr>
          <w:rFonts w:ascii="Arial" w:hAnsi="Arial" w:cs="Arial"/>
          <w:b/>
          <w:bCs/>
          <w:sz w:val="24"/>
          <w:szCs w:val="24"/>
          <w:lang w:val="es-ES"/>
        </w:rPr>
        <w:t xml:space="preserve"> </w:t>
      </w:r>
      <w:r w:rsidR="009A6736">
        <w:rPr>
          <w:rFonts w:ascii="Arial" w:hAnsi="Arial" w:cs="Arial"/>
          <w:b/>
          <w:bCs/>
          <w:sz w:val="24"/>
          <w:szCs w:val="24"/>
          <w:lang w:val="es-ES"/>
        </w:rPr>
        <w:t>9</w:t>
      </w:r>
      <w:r w:rsidR="009A6736">
        <w:rPr>
          <w:rFonts w:ascii="Arial" w:hAnsi="Arial" w:cs="Arial"/>
          <w:b/>
          <w:bCs/>
          <w:sz w:val="24"/>
          <w:szCs w:val="24"/>
        </w:rPr>
        <w:t>)</w:t>
      </w:r>
      <w:r w:rsidR="009A6736">
        <w:rPr>
          <w:rFonts w:ascii="Arial" w:hAnsi="Arial" w:cs="Arial"/>
          <w:sz w:val="24"/>
          <w:szCs w:val="24"/>
        </w:rPr>
        <w:t xml:space="preserve"> que el 09/07/2012 el Directorio de PLUNA S.A. se presentó a concurso voluntario en virtud de la situación de insolvencia, siendo dispuesto por Decreto N° 1262/2012 de fecha 11/07/2012, promoviendo análogos procedimientos en las sucursales del exterior. Por Resolución del Poder Ejecutivo N° 364/012 del 07/08/2012 se autorizó a PLUNA E.A. a disponer de todos los actos administrativos y contrataciones de servicios profesionales necesarios para afrontar aquellos litigios judiciales de diversa naturaleza tanto en el país como en el exterior que involucren a PLUNA o a los funcionarios comprendidos por el artículo 10 de la Ley Nº 18.931 de fecha 17 de Julio de 2012 (totalidad de los miembros del Directorio y Comisión Fiscal de PLUNA S.A., designados por Asamblea de Accionistas de Series A y B de fecha 15 de junio de 2012). Por tal motivo, por Resolución del Ministerio de Economía y Finanzas del 20/08/2012, se autorizó a reforzar el “Subsidio de PLUNA” por el equivalente en moneda nacional a U$S 1.800.000, para hacer frente </w:t>
      </w:r>
      <w:r>
        <w:rPr>
          <w:rFonts w:ascii="Arial" w:hAnsi="Arial" w:cs="Arial"/>
          <w:sz w:val="24"/>
          <w:szCs w:val="24"/>
        </w:rPr>
        <w:t>a las erogaciones que resulten;</w:t>
      </w:r>
    </w:p>
    <w:p w:rsidR="009A6736" w:rsidRDefault="001B4535" w:rsidP="001B4535">
      <w:pPr>
        <w:pStyle w:val="Textoindependiente2"/>
        <w:tabs>
          <w:tab w:val="clear" w:pos="984"/>
          <w:tab w:val="left" w:pos="709"/>
        </w:tabs>
        <w:ind w:firstLine="2694"/>
      </w:pPr>
      <w:r>
        <w:rPr>
          <w:b/>
          <w:bCs/>
        </w:rPr>
        <w:t xml:space="preserve"> </w:t>
      </w:r>
      <w:r w:rsidR="009A6736">
        <w:rPr>
          <w:b/>
          <w:bCs/>
        </w:rPr>
        <w:t>10)</w:t>
      </w:r>
      <w:r w:rsidR="009A6736">
        <w:t xml:space="preserve"> que con fecha 02/04/14 este Tribunal, por Oficio N° 2768/14, solicitó que en el plazo de diez días hábiles el Ente expresara sus comentarios sobre las situaciones que se describen en los Resultandos 6) a 9) precedentes;</w:t>
      </w:r>
    </w:p>
    <w:p w:rsidR="009A6736" w:rsidRDefault="001B4535" w:rsidP="001B4535">
      <w:pPr>
        <w:pStyle w:val="Textoindependiente2"/>
        <w:tabs>
          <w:tab w:val="clear" w:pos="984"/>
          <w:tab w:val="left" w:pos="709"/>
        </w:tabs>
        <w:ind w:firstLine="2694"/>
      </w:pPr>
      <w:r>
        <w:rPr>
          <w:b/>
          <w:bCs/>
          <w:spacing w:val="-8"/>
        </w:rPr>
        <w:t xml:space="preserve"> </w:t>
      </w:r>
      <w:r w:rsidR="009A6736" w:rsidRPr="00B747C6">
        <w:rPr>
          <w:b/>
          <w:bCs/>
          <w:spacing w:val="-8"/>
        </w:rPr>
        <w:t xml:space="preserve">11) </w:t>
      </w:r>
      <w:r w:rsidR="009A6736" w:rsidRPr="00B747C6">
        <w:rPr>
          <w:spacing w:val="-8"/>
        </w:rPr>
        <w:t>que en esta instancia mediante el Oficio N°</w:t>
      </w:r>
      <w:r w:rsidR="009A6736">
        <w:t xml:space="preserve"> 76/2014 citado, PLUNA E.A. expresa:</w:t>
      </w:r>
    </w:p>
    <w:p w:rsidR="009A6736" w:rsidRDefault="009A6736" w:rsidP="00B747C6">
      <w:pPr>
        <w:pStyle w:val="Textoindependiente2"/>
        <w:tabs>
          <w:tab w:val="clear" w:pos="984"/>
          <w:tab w:val="left" w:pos="709"/>
        </w:tabs>
      </w:pPr>
      <w:r>
        <w:rPr>
          <w:b/>
          <w:bCs/>
        </w:rPr>
        <w:t>11.1)</w:t>
      </w:r>
      <w:r>
        <w:t xml:space="preserve"> que “</w:t>
      </w:r>
      <w:r>
        <w:rPr>
          <w:i/>
          <w:iCs/>
        </w:rPr>
        <w:t>el pago de las obligaciones en cumplimiento de los contratos referidos fue atri</w:t>
      </w:r>
      <w:r w:rsidR="00B747C6">
        <w:rPr>
          <w:i/>
          <w:iCs/>
        </w:rPr>
        <w:t xml:space="preserve">buido por mandato expreso de </w:t>
      </w:r>
      <w:proofErr w:type="spellStart"/>
      <w:r w:rsidR="00B747C6">
        <w:rPr>
          <w:i/>
          <w:iCs/>
        </w:rPr>
        <w:t>laL</w:t>
      </w:r>
      <w:r>
        <w:rPr>
          <w:i/>
          <w:iCs/>
        </w:rPr>
        <w:t>ley</w:t>
      </w:r>
      <w:proofErr w:type="spellEnd"/>
      <w:r>
        <w:rPr>
          <w:i/>
          <w:iCs/>
        </w:rPr>
        <w:t xml:space="preserve"> 18.931 al denominado “Fideicomiso de Aeronaves Ley 18.931” a quien dicha ley mandató a pagar las cuotas al Banco </w:t>
      </w:r>
      <w:proofErr w:type="spellStart"/>
      <w:r>
        <w:rPr>
          <w:i/>
          <w:iCs/>
        </w:rPr>
        <w:t>Scotia</w:t>
      </w:r>
      <w:proofErr w:type="spellEnd"/>
      <w:r>
        <w:rPr>
          <w:i/>
          <w:iCs/>
        </w:rPr>
        <w:t xml:space="preserve">. Por tanto no correspondía tampoco realizar previsión alguna al respecto dado que dicha obligación correspondía por mandato de la ley al Fideicomiso mencionado quien pagó en definitiva esos importes. Al momento de cierre de ejercicio la ley se encontraba vigente y </w:t>
      </w:r>
      <w:proofErr w:type="spellStart"/>
      <w:r>
        <w:rPr>
          <w:i/>
          <w:iCs/>
        </w:rPr>
        <w:t>Pluna</w:t>
      </w:r>
      <w:proofErr w:type="spellEnd"/>
      <w:r>
        <w:rPr>
          <w:i/>
          <w:iCs/>
        </w:rPr>
        <w:t xml:space="preserve"> nada debía pagar por lo que no correspondía </w:t>
      </w:r>
      <w:proofErr w:type="spellStart"/>
      <w:r>
        <w:rPr>
          <w:i/>
          <w:iCs/>
        </w:rPr>
        <w:t>previsionar</w:t>
      </w:r>
      <w:proofErr w:type="spellEnd"/>
      <w:r>
        <w:rPr>
          <w:i/>
          <w:iCs/>
        </w:rPr>
        <w:t>”</w:t>
      </w:r>
      <w:r>
        <w:t>;</w:t>
      </w:r>
    </w:p>
    <w:p w:rsidR="009A6736" w:rsidRDefault="009A6736" w:rsidP="00B747C6">
      <w:pPr>
        <w:pStyle w:val="Textoindependiente2"/>
        <w:tabs>
          <w:tab w:val="clear" w:pos="984"/>
          <w:tab w:val="left" w:pos="709"/>
        </w:tabs>
      </w:pPr>
      <w:r>
        <w:rPr>
          <w:b/>
          <w:bCs/>
        </w:rPr>
        <w:t xml:space="preserve">11.2) </w:t>
      </w:r>
      <w:r>
        <w:t xml:space="preserve">que </w:t>
      </w:r>
      <w:r>
        <w:rPr>
          <w:i/>
          <w:iCs/>
        </w:rPr>
        <w:t xml:space="preserve">“con referencia al punto 2.2 del informe, corresponde señalar que el denominado “Acuerdo para el cierre de la Transacción” celebrado en el año 2007 constituyó una obligación explícita, suscrita </w:t>
      </w:r>
      <w:r>
        <w:rPr>
          <w:i/>
          <w:iCs/>
          <w:u w:val="single"/>
        </w:rPr>
        <w:t xml:space="preserve">ante los socios privados </w:t>
      </w:r>
      <w:r>
        <w:rPr>
          <w:i/>
          <w:iCs/>
        </w:rPr>
        <w:t xml:space="preserve">de la empresa, mediante el cual </w:t>
      </w:r>
      <w:proofErr w:type="spellStart"/>
      <w:r>
        <w:rPr>
          <w:i/>
          <w:iCs/>
        </w:rPr>
        <w:t>Pluna</w:t>
      </w:r>
      <w:proofErr w:type="spellEnd"/>
      <w:r>
        <w:rPr>
          <w:i/>
          <w:iCs/>
        </w:rPr>
        <w:t xml:space="preserve"> Ente Autónomo asumía la obligación de pago de determinados pasivos generados con anterioridad al ingreso de los mismos. </w:t>
      </w:r>
    </w:p>
    <w:p w:rsidR="009A6736" w:rsidRDefault="009A6736" w:rsidP="00B747C6">
      <w:pPr>
        <w:pStyle w:val="Textoindependiente2"/>
        <w:tabs>
          <w:tab w:val="clear" w:pos="984"/>
          <w:tab w:val="left" w:pos="709"/>
        </w:tabs>
      </w:pPr>
      <w:r>
        <w:rPr>
          <w:b/>
          <w:bCs/>
        </w:rPr>
        <w:t xml:space="preserve">11.3) </w:t>
      </w:r>
      <w:r>
        <w:t xml:space="preserve">que </w:t>
      </w:r>
      <w:r>
        <w:rPr>
          <w:i/>
          <w:iCs/>
        </w:rPr>
        <w:t xml:space="preserve">“tampoco puede sostenerse que de dicho Acuerdo surja una obligación implícita de asumir el pasivo de </w:t>
      </w:r>
      <w:proofErr w:type="spellStart"/>
      <w:r>
        <w:rPr>
          <w:i/>
          <w:iCs/>
        </w:rPr>
        <w:t>Pluna</w:t>
      </w:r>
      <w:proofErr w:type="spellEnd"/>
      <w:r>
        <w:rPr>
          <w:i/>
          <w:iCs/>
        </w:rPr>
        <w:t xml:space="preserve"> SA y por tanto mucho menos la obligación de </w:t>
      </w:r>
      <w:proofErr w:type="spellStart"/>
      <w:r>
        <w:rPr>
          <w:i/>
          <w:iCs/>
        </w:rPr>
        <w:t>previsionar</w:t>
      </w:r>
      <w:proofErr w:type="spellEnd"/>
      <w:r>
        <w:rPr>
          <w:i/>
          <w:iCs/>
        </w:rPr>
        <w:t xml:space="preserve"> como una pérdida establecida en el dictamen”</w:t>
      </w:r>
      <w:r>
        <w:t>;</w:t>
      </w:r>
    </w:p>
    <w:p w:rsidR="009A6736" w:rsidRDefault="009A6736" w:rsidP="00B747C6">
      <w:pPr>
        <w:pStyle w:val="Textoindependiente2"/>
        <w:tabs>
          <w:tab w:val="clear" w:pos="984"/>
          <w:tab w:val="left" w:pos="709"/>
          <w:tab w:val="left" w:pos="3402"/>
        </w:tabs>
      </w:pPr>
      <w:r>
        <w:rPr>
          <w:b/>
          <w:bCs/>
        </w:rPr>
        <w:t xml:space="preserve">11.4) </w:t>
      </w:r>
      <w:r>
        <w:t xml:space="preserve">que </w:t>
      </w:r>
      <w:r>
        <w:rPr>
          <w:i/>
          <w:iCs/>
        </w:rPr>
        <w:t xml:space="preserve">“respecto de los denominados juicios de </w:t>
      </w:r>
      <w:proofErr w:type="spellStart"/>
      <w:r>
        <w:rPr>
          <w:i/>
          <w:iCs/>
        </w:rPr>
        <w:t>Varig</w:t>
      </w:r>
      <w:proofErr w:type="spellEnd"/>
      <w:r>
        <w:rPr>
          <w:i/>
          <w:iCs/>
        </w:rPr>
        <w:t xml:space="preserve">, caben las mismas consideraciones. Adicionalmente, la obligación asumida fue ante los socios privados y cesó tras su retiro de la empresa. Las actuaciones que se mencionan refieren a una contingencia eventual que de ningún modo puede </w:t>
      </w:r>
      <w:proofErr w:type="spellStart"/>
      <w:r>
        <w:rPr>
          <w:i/>
          <w:iCs/>
        </w:rPr>
        <w:t>contablilizarse</w:t>
      </w:r>
      <w:proofErr w:type="spellEnd"/>
      <w:r>
        <w:rPr>
          <w:i/>
          <w:iCs/>
        </w:rPr>
        <w:t xml:space="preserve"> o asumirse como pérdida. Mucho menos durante el ejercicio 2012…”</w:t>
      </w:r>
    </w:p>
    <w:p w:rsidR="009A6736" w:rsidRDefault="009A6736" w:rsidP="00B747C6">
      <w:pPr>
        <w:pStyle w:val="Textoindependiente2"/>
        <w:tabs>
          <w:tab w:val="clear" w:pos="984"/>
          <w:tab w:val="left" w:pos="0"/>
          <w:tab w:val="left" w:pos="709"/>
          <w:tab w:val="left" w:pos="3402"/>
        </w:tabs>
      </w:pPr>
      <w:r>
        <w:rPr>
          <w:b/>
          <w:bCs/>
        </w:rPr>
        <w:t xml:space="preserve">11.5) </w:t>
      </w:r>
      <w:r>
        <w:t xml:space="preserve">que </w:t>
      </w:r>
      <w:r>
        <w:rPr>
          <w:i/>
          <w:iCs/>
        </w:rPr>
        <w:t xml:space="preserve">“respecto de las afirmaciones contenidas en el numeral 2.3 corresponde señalar que las contrataciones de servicios profesionales a que refieren las normas citadas, se motivan en la necesidad de dar cumplimiento a las normas legales respecto de la obligatoriedad de los directores de las sociedades anónimas de denunciar la insolvencia de la empresa y, por otro lado, ejercer el derecho de defensa en los diferentes procesos judiciales en los que el Ente viene siendo demandado, no pudiéndose inferir de modo alguno en ello la existencia de obligación alguna y mucho menos la obligatoriedad de </w:t>
      </w:r>
      <w:proofErr w:type="spellStart"/>
      <w:r>
        <w:rPr>
          <w:i/>
          <w:iCs/>
        </w:rPr>
        <w:t>previsionar</w:t>
      </w:r>
      <w:proofErr w:type="spellEnd"/>
      <w:r>
        <w:rPr>
          <w:i/>
          <w:iCs/>
        </w:rPr>
        <w:t xml:space="preserve"> en los términos dictaminados.”</w:t>
      </w:r>
      <w:r>
        <w:t>;</w:t>
      </w:r>
    </w:p>
    <w:p w:rsidR="009A6736" w:rsidRDefault="009A6736" w:rsidP="001B4535">
      <w:pPr>
        <w:tabs>
          <w:tab w:val="left" w:pos="2977"/>
          <w:tab w:val="left" w:pos="3119"/>
          <w:tab w:val="left" w:pos="3402"/>
        </w:tabs>
        <w:spacing w:line="360" w:lineRule="auto"/>
        <w:ind w:firstLine="851"/>
        <w:jc w:val="both"/>
        <w:rPr>
          <w:rFonts w:ascii="Arial" w:hAnsi="Arial" w:cs="Arial"/>
          <w:sz w:val="24"/>
          <w:szCs w:val="24"/>
        </w:rPr>
      </w:pPr>
      <w:r w:rsidRPr="000E1221">
        <w:rPr>
          <w:rFonts w:ascii="Arial" w:hAnsi="Arial" w:cs="Arial"/>
          <w:b/>
          <w:bCs/>
          <w:spacing w:val="8"/>
          <w:sz w:val="24"/>
          <w:szCs w:val="24"/>
        </w:rPr>
        <w:t xml:space="preserve">CONSIDERANDO: 1) </w:t>
      </w:r>
      <w:r w:rsidRPr="000E1221">
        <w:rPr>
          <w:rFonts w:ascii="Arial" w:hAnsi="Arial" w:cs="Arial"/>
          <w:spacing w:val="8"/>
          <w:sz w:val="24"/>
          <w:szCs w:val="24"/>
        </w:rPr>
        <w:t>que sin perjuicio de lo expuesto en el Resultando</w:t>
      </w:r>
      <w:r>
        <w:rPr>
          <w:rFonts w:ascii="Arial" w:hAnsi="Arial" w:cs="Arial"/>
          <w:sz w:val="24"/>
          <w:szCs w:val="24"/>
        </w:rPr>
        <w:t xml:space="preserve"> 3), el párrafo 30 de la NIC 28 dispone además que “una vez que el inversor haya reducido el valor de su inversión a cero, tendrá en cuenta las pérdidas adicionales mediante el reconocimiento de un pasivo, sólo en la medida que haya incurrido en obligaciones legales o implícitas, o bien haya efectuado pago en nombre de la asociada”;</w:t>
      </w:r>
    </w:p>
    <w:p w:rsidR="009A6736" w:rsidRDefault="001B4535" w:rsidP="001B4535">
      <w:pPr>
        <w:tabs>
          <w:tab w:val="left" w:pos="2977"/>
          <w:tab w:val="left" w:pos="3119"/>
        </w:tabs>
        <w:spacing w:after="0" w:line="360" w:lineRule="auto"/>
        <w:ind w:firstLine="3119"/>
        <w:jc w:val="both"/>
        <w:rPr>
          <w:rFonts w:ascii="Arial" w:hAnsi="Arial" w:cs="Arial"/>
          <w:sz w:val="24"/>
          <w:szCs w:val="24"/>
        </w:rPr>
      </w:pPr>
      <w:r>
        <w:rPr>
          <w:rFonts w:ascii="Arial" w:hAnsi="Arial" w:cs="Arial"/>
          <w:b/>
          <w:bCs/>
          <w:sz w:val="24"/>
          <w:szCs w:val="24"/>
        </w:rPr>
        <w:t xml:space="preserve"> </w:t>
      </w:r>
      <w:r w:rsidR="009A6736">
        <w:rPr>
          <w:rFonts w:ascii="Arial" w:hAnsi="Arial" w:cs="Arial"/>
          <w:b/>
          <w:bCs/>
          <w:sz w:val="24"/>
          <w:szCs w:val="24"/>
        </w:rPr>
        <w:t xml:space="preserve">2) </w:t>
      </w:r>
      <w:r w:rsidR="009A6736">
        <w:rPr>
          <w:rFonts w:ascii="Arial" w:hAnsi="Arial" w:cs="Arial"/>
          <w:sz w:val="24"/>
          <w:szCs w:val="24"/>
        </w:rPr>
        <w:t>que una obligación implícita es aquella que se deriva de las actuaciones de la propia entidad; conforme a lo dispuesto en el párrafo 10 de la NIC 37, PLUNA E.A. ha abonado deudas laborales de ex trabajadores de PLUNA S.A, por lo que ha creado expectativas válidas ante terceros con los que debe cumplir sus compromisos y responsabilidades, debiendo tenerse en cuenta además lo informado al Directorio por la Gerencia de la División Jurídica del Ente;</w:t>
      </w:r>
    </w:p>
    <w:p w:rsidR="009A6736" w:rsidRDefault="001B4535" w:rsidP="001B4535">
      <w:pPr>
        <w:tabs>
          <w:tab w:val="left" w:pos="2977"/>
          <w:tab w:val="left" w:pos="3119"/>
        </w:tabs>
        <w:spacing w:after="0" w:line="360" w:lineRule="auto"/>
        <w:ind w:firstLine="3119"/>
        <w:jc w:val="both"/>
        <w:rPr>
          <w:rFonts w:ascii="Arial" w:hAnsi="Arial" w:cs="Arial"/>
          <w:sz w:val="24"/>
          <w:szCs w:val="24"/>
        </w:rPr>
      </w:pPr>
      <w:r>
        <w:rPr>
          <w:rFonts w:ascii="Arial" w:hAnsi="Arial" w:cs="Arial"/>
          <w:b/>
          <w:bCs/>
          <w:sz w:val="24"/>
          <w:szCs w:val="24"/>
        </w:rPr>
        <w:t xml:space="preserve"> </w:t>
      </w:r>
      <w:r w:rsidR="009A6736">
        <w:rPr>
          <w:rFonts w:ascii="Arial" w:hAnsi="Arial" w:cs="Arial"/>
          <w:b/>
          <w:bCs/>
          <w:sz w:val="24"/>
          <w:szCs w:val="24"/>
        </w:rPr>
        <w:t xml:space="preserve">3) </w:t>
      </w:r>
      <w:r w:rsidR="009A6736">
        <w:rPr>
          <w:rFonts w:ascii="Arial" w:hAnsi="Arial" w:cs="Arial"/>
          <w:sz w:val="24"/>
          <w:szCs w:val="24"/>
        </w:rPr>
        <w:t>que en el ejercicio 2012 el Ente decidió ajustar el valor de la inversión a cero, apartándose del párrafo 30 de la NIC 28, al no reconocer un pasivo por las pérdidas adicionales al valor de la inversión;</w:t>
      </w:r>
    </w:p>
    <w:p w:rsidR="009A6736" w:rsidRDefault="009A6736" w:rsidP="001B4535">
      <w:pPr>
        <w:tabs>
          <w:tab w:val="left" w:pos="2977"/>
          <w:tab w:val="left" w:pos="3119"/>
        </w:tabs>
        <w:spacing w:after="0" w:line="360" w:lineRule="auto"/>
        <w:ind w:firstLine="3119"/>
        <w:jc w:val="both"/>
        <w:rPr>
          <w:rFonts w:ascii="Arial" w:hAnsi="Arial" w:cs="Arial"/>
          <w:sz w:val="24"/>
          <w:szCs w:val="24"/>
        </w:rPr>
      </w:pPr>
      <w:r w:rsidRPr="000E1221">
        <w:rPr>
          <w:rFonts w:ascii="Arial" w:hAnsi="Arial" w:cs="Arial"/>
          <w:spacing w:val="-8"/>
          <w:sz w:val="24"/>
          <w:szCs w:val="24"/>
        </w:rPr>
        <w:t xml:space="preserve"> </w:t>
      </w:r>
      <w:r w:rsidRPr="000E1221">
        <w:rPr>
          <w:rFonts w:ascii="Arial" w:hAnsi="Arial" w:cs="Arial"/>
          <w:b/>
          <w:bCs/>
          <w:spacing w:val="-8"/>
          <w:sz w:val="24"/>
          <w:szCs w:val="24"/>
        </w:rPr>
        <w:t xml:space="preserve">4) </w:t>
      </w:r>
      <w:r w:rsidRPr="000E1221">
        <w:rPr>
          <w:rFonts w:ascii="Arial" w:hAnsi="Arial" w:cs="Arial"/>
          <w:spacing w:val="-8"/>
          <w:sz w:val="24"/>
          <w:szCs w:val="24"/>
        </w:rPr>
        <w:t xml:space="preserve">que la afirmación de la firma </w:t>
      </w:r>
      <w:proofErr w:type="spellStart"/>
      <w:r w:rsidRPr="000E1221">
        <w:rPr>
          <w:rFonts w:ascii="Arial" w:hAnsi="Arial" w:cs="Arial"/>
          <w:spacing w:val="-8"/>
          <w:sz w:val="24"/>
          <w:szCs w:val="24"/>
        </w:rPr>
        <w:t>Deloitte</w:t>
      </w:r>
      <w:proofErr w:type="spellEnd"/>
      <w:r w:rsidRPr="000E1221">
        <w:rPr>
          <w:rFonts w:ascii="Arial" w:hAnsi="Arial" w:cs="Arial"/>
          <w:spacing w:val="-8"/>
          <w:sz w:val="24"/>
          <w:szCs w:val="24"/>
        </w:rPr>
        <w:t xml:space="preserve"> (Resultando</w:t>
      </w:r>
      <w:r>
        <w:rPr>
          <w:rFonts w:ascii="Arial" w:hAnsi="Arial" w:cs="Arial"/>
          <w:sz w:val="24"/>
          <w:szCs w:val="24"/>
        </w:rPr>
        <w:t xml:space="preserve"> 5) no es concluyente en tanto señala que la situación podría revelarse mediante notas;  por otra parte dicha afirmación se realiza en el marco de que “</w:t>
      </w:r>
      <w:r>
        <w:rPr>
          <w:rFonts w:ascii="Arial" w:hAnsi="Arial" w:cs="Arial"/>
          <w:i/>
          <w:iCs/>
          <w:sz w:val="24"/>
          <w:szCs w:val="24"/>
        </w:rPr>
        <w:t xml:space="preserve">este tipo de situaciones implican la aplicación de juicio profesional por parte de los responsables de la emisión de los estados contables” </w:t>
      </w:r>
      <w:r>
        <w:rPr>
          <w:rFonts w:ascii="Arial" w:hAnsi="Arial" w:cs="Arial"/>
          <w:sz w:val="24"/>
          <w:szCs w:val="24"/>
        </w:rPr>
        <w:t xml:space="preserve">y de que </w:t>
      </w:r>
      <w:r>
        <w:rPr>
          <w:rFonts w:ascii="Arial" w:hAnsi="Arial" w:cs="Arial"/>
          <w:i/>
          <w:iCs/>
          <w:sz w:val="24"/>
          <w:szCs w:val="24"/>
        </w:rPr>
        <w:t>“como no somos los auditores de PEA ni de PLUNA S.A. otras circunstancias o compromisos asumidos podrían existir que no sean objeto de esta consulta”</w:t>
      </w:r>
      <w:r>
        <w:rPr>
          <w:rFonts w:ascii="Arial" w:hAnsi="Arial" w:cs="Arial"/>
          <w:sz w:val="24"/>
          <w:szCs w:val="24"/>
        </w:rPr>
        <w:t>.  Corresponde destacar además que, sin perjuicio de no reconocerse una provisión, la situación tampoco fue revelada mediante notas;</w:t>
      </w:r>
    </w:p>
    <w:p w:rsidR="009A6736" w:rsidRDefault="001B4535" w:rsidP="001B4535">
      <w:pPr>
        <w:tabs>
          <w:tab w:val="left" w:pos="2977"/>
          <w:tab w:val="left" w:pos="3119"/>
        </w:tabs>
        <w:spacing w:line="360" w:lineRule="auto"/>
        <w:ind w:firstLine="3119"/>
        <w:jc w:val="both"/>
        <w:rPr>
          <w:rFonts w:ascii="Arial" w:hAnsi="Arial" w:cs="Arial"/>
          <w:sz w:val="24"/>
          <w:szCs w:val="24"/>
        </w:rPr>
      </w:pPr>
      <w:r>
        <w:rPr>
          <w:rFonts w:ascii="Arial" w:hAnsi="Arial" w:cs="Arial"/>
          <w:b/>
          <w:bCs/>
          <w:sz w:val="24"/>
          <w:szCs w:val="24"/>
        </w:rPr>
        <w:t xml:space="preserve"> </w:t>
      </w:r>
      <w:r w:rsidR="009A6736">
        <w:rPr>
          <w:rFonts w:ascii="Arial" w:hAnsi="Arial" w:cs="Arial"/>
          <w:b/>
          <w:bCs/>
          <w:sz w:val="24"/>
          <w:szCs w:val="24"/>
        </w:rPr>
        <w:t xml:space="preserve">5) </w:t>
      </w:r>
      <w:r w:rsidR="009A6736">
        <w:rPr>
          <w:rFonts w:ascii="Arial" w:hAnsi="Arial" w:cs="Arial"/>
          <w:sz w:val="24"/>
          <w:szCs w:val="24"/>
        </w:rPr>
        <w:t>que los antecedentes evidencian la existencia de un contexto determinado que permite inferir una mayor probabilidad de que existan tales obligaciones</w:t>
      </w:r>
      <w:r w:rsidR="009A6736">
        <w:rPr>
          <w:rFonts w:ascii="Arial" w:hAnsi="Arial" w:cs="Arial"/>
          <w:b/>
          <w:bCs/>
          <w:sz w:val="24"/>
          <w:szCs w:val="24"/>
        </w:rPr>
        <w:t xml:space="preserve">. </w:t>
      </w:r>
      <w:r w:rsidR="009A6736">
        <w:rPr>
          <w:rFonts w:ascii="Arial" w:hAnsi="Arial" w:cs="Arial"/>
          <w:sz w:val="24"/>
          <w:szCs w:val="24"/>
        </w:rPr>
        <w:t>En efecto, los hechos descritos en el Resultando 7), el informe de la Gerencia de la División Jurídica del Ente citado en el Resultando 8), la contratación de servicios profesionales autorizada por el Poder Ejecutivo para afrontar litigios judiciales de distinta naturaleza que involucran al Organismo tanto en el país como en el exterior, así como lo mencionado en los Considerandos 1) y 2), determinaron la necesidad de exponer dicha situación en los estados contables;</w:t>
      </w:r>
    </w:p>
    <w:p w:rsidR="009A6736" w:rsidRDefault="001B4535" w:rsidP="001B4535">
      <w:pPr>
        <w:pStyle w:val="Prrafodelista"/>
        <w:tabs>
          <w:tab w:val="left" w:pos="6465"/>
        </w:tabs>
        <w:spacing w:line="360" w:lineRule="auto"/>
        <w:ind w:left="0" w:firstLine="3119"/>
        <w:jc w:val="both"/>
        <w:rPr>
          <w:rFonts w:ascii="Arial" w:hAnsi="Arial" w:cs="Arial"/>
          <w:sz w:val="24"/>
          <w:szCs w:val="24"/>
        </w:rPr>
      </w:pPr>
      <w:r>
        <w:rPr>
          <w:rFonts w:ascii="Arial" w:hAnsi="Arial" w:cs="Arial"/>
          <w:b/>
          <w:bCs/>
          <w:sz w:val="24"/>
          <w:szCs w:val="24"/>
        </w:rPr>
        <w:t xml:space="preserve"> </w:t>
      </w:r>
      <w:r w:rsidR="009A6736">
        <w:rPr>
          <w:rFonts w:ascii="Arial" w:hAnsi="Arial" w:cs="Arial"/>
          <w:b/>
          <w:bCs/>
          <w:sz w:val="24"/>
          <w:szCs w:val="24"/>
        </w:rPr>
        <w:t xml:space="preserve">6) </w:t>
      </w:r>
      <w:r w:rsidR="009A6736">
        <w:rPr>
          <w:rFonts w:ascii="Arial" w:hAnsi="Arial" w:cs="Arial"/>
          <w:sz w:val="24"/>
          <w:szCs w:val="24"/>
        </w:rPr>
        <w:t xml:space="preserve">que con respecto a lo expresado por PLUNA E.A. (Resultando 11.1), se señala que la creación del Fideicomiso de Aeronaves, regulado por la Ley N° 18.931, no alteró los términos de la garantía asumida por PLUNA Ente con el Bank of Nova </w:t>
      </w:r>
      <w:proofErr w:type="spellStart"/>
      <w:r w:rsidR="009A6736">
        <w:rPr>
          <w:rFonts w:ascii="Arial" w:hAnsi="Arial" w:cs="Arial"/>
          <w:sz w:val="24"/>
          <w:szCs w:val="24"/>
        </w:rPr>
        <w:t>Scotia</w:t>
      </w:r>
      <w:proofErr w:type="spellEnd"/>
      <w:r w:rsidR="009A6736">
        <w:rPr>
          <w:rFonts w:ascii="Arial" w:hAnsi="Arial" w:cs="Arial"/>
          <w:sz w:val="24"/>
          <w:szCs w:val="24"/>
        </w:rPr>
        <w:t>, por la compra de las aeronaves (Resultando 6). En el Contrato de Garantía en su Sección 5 “Conservación de Derechos” se indica que: “las Obligaciones Garantizadas se pagaran estrictamente de conformidad con sus términos, independientemente de cualquier Cambio en la Ley o de cualquier ley, reglamento o disposición en vigor, ya sea actualmente o en lo sucesivo…La responsabilidad de la Garante de conformidad con la presente Garantía será absoluta e incondicional independientemente de : (a) cualquier cambio en la modalidad, lugar o términos de pago o cumplimiento….”, por lo que se debió efectuar una provisión;</w:t>
      </w:r>
    </w:p>
    <w:p w:rsidR="009A6736" w:rsidRDefault="001B4535" w:rsidP="001B4535">
      <w:pPr>
        <w:pStyle w:val="Prrafodelista"/>
        <w:tabs>
          <w:tab w:val="left" w:pos="6465"/>
        </w:tabs>
        <w:spacing w:after="0" w:line="360" w:lineRule="auto"/>
        <w:ind w:left="0" w:firstLine="3119"/>
        <w:jc w:val="both"/>
        <w:rPr>
          <w:rFonts w:ascii="Arial" w:hAnsi="Arial" w:cs="Arial"/>
          <w:sz w:val="24"/>
          <w:szCs w:val="24"/>
        </w:rPr>
      </w:pPr>
      <w:r>
        <w:rPr>
          <w:rFonts w:ascii="Arial" w:hAnsi="Arial" w:cs="Arial"/>
          <w:b/>
          <w:bCs/>
          <w:sz w:val="24"/>
          <w:szCs w:val="24"/>
        </w:rPr>
        <w:t xml:space="preserve"> </w:t>
      </w:r>
      <w:r w:rsidR="009A6736">
        <w:rPr>
          <w:rFonts w:ascii="Arial" w:hAnsi="Arial" w:cs="Arial"/>
          <w:b/>
          <w:bCs/>
          <w:sz w:val="24"/>
          <w:szCs w:val="24"/>
        </w:rPr>
        <w:t xml:space="preserve">7) </w:t>
      </w:r>
      <w:r w:rsidR="009A6736">
        <w:rPr>
          <w:rFonts w:ascii="Arial" w:hAnsi="Arial" w:cs="Arial"/>
          <w:sz w:val="24"/>
          <w:szCs w:val="24"/>
        </w:rPr>
        <w:t xml:space="preserve">que con relación a lo señalado por PLUNA E.A. (Resultados 11.2, 11.3 y 11.4), cabe expresar que el hecho de que se efectuaran pagos por distintos conceptos implica que PLUNA E.A. ha creado expectativas válidas ante terceros, con los que debe cumplir sus compromisos </w:t>
      </w:r>
      <w:r w:rsidR="009A6736" w:rsidRPr="003A2224">
        <w:rPr>
          <w:rFonts w:ascii="Arial" w:hAnsi="Arial" w:cs="Arial"/>
          <w:spacing w:val="-12"/>
          <w:sz w:val="24"/>
          <w:szCs w:val="24"/>
        </w:rPr>
        <w:t>y responsabilidades tal como dispone la NIC 37 en su párrafo 10 (Obligación</w:t>
      </w:r>
      <w:r>
        <w:rPr>
          <w:rFonts w:ascii="Arial" w:hAnsi="Arial" w:cs="Arial"/>
          <w:sz w:val="24"/>
          <w:szCs w:val="24"/>
        </w:rPr>
        <w:t xml:space="preserve"> implícita);</w:t>
      </w:r>
    </w:p>
    <w:p w:rsidR="009A6736" w:rsidRDefault="001B4535" w:rsidP="001B4535">
      <w:pPr>
        <w:pStyle w:val="Prrafodelista"/>
        <w:tabs>
          <w:tab w:val="left" w:pos="4678"/>
        </w:tabs>
        <w:autoSpaceDE w:val="0"/>
        <w:autoSpaceDN w:val="0"/>
        <w:adjustRightInd w:val="0"/>
        <w:spacing w:after="0" w:line="360" w:lineRule="auto"/>
        <w:ind w:left="0" w:firstLine="3119"/>
        <w:jc w:val="both"/>
        <w:rPr>
          <w:rFonts w:ascii="Arial" w:hAnsi="Arial" w:cs="Arial"/>
          <w:sz w:val="24"/>
          <w:szCs w:val="24"/>
        </w:rPr>
      </w:pPr>
      <w:r>
        <w:rPr>
          <w:rFonts w:ascii="Arial" w:hAnsi="Arial" w:cs="Arial"/>
          <w:b/>
          <w:bCs/>
          <w:sz w:val="24"/>
          <w:szCs w:val="24"/>
        </w:rPr>
        <w:t xml:space="preserve"> </w:t>
      </w:r>
      <w:r w:rsidR="009A6736">
        <w:rPr>
          <w:rFonts w:ascii="Arial" w:hAnsi="Arial" w:cs="Arial"/>
          <w:b/>
          <w:bCs/>
          <w:sz w:val="24"/>
          <w:szCs w:val="24"/>
        </w:rPr>
        <w:t xml:space="preserve">8) </w:t>
      </w:r>
      <w:r w:rsidR="009A6736">
        <w:rPr>
          <w:rFonts w:ascii="Arial" w:hAnsi="Arial" w:cs="Arial"/>
          <w:sz w:val="24"/>
          <w:szCs w:val="24"/>
        </w:rPr>
        <w:t>que en cuanto a lo mencionado por PLUNA E.A. (Resultando 11.5), cabe indicar que la necesidad de las contrataciones de servicios profesionales que se realizan a los efectos de defender al Ente en los diferentes litigios  judiciales en los que viene siendo demandado, reafirma la existencia de eventuales obligaciones;</w:t>
      </w:r>
    </w:p>
    <w:p w:rsidR="001A2AF0" w:rsidRDefault="009A6736" w:rsidP="001A2AF0">
      <w:pPr>
        <w:tabs>
          <w:tab w:val="left" w:pos="2977"/>
          <w:tab w:val="left" w:pos="3119"/>
        </w:tabs>
        <w:spacing w:after="0" w:line="360" w:lineRule="auto"/>
        <w:ind w:firstLine="851"/>
        <w:rPr>
          <w:rFonts w:ascii="Arial" w:hAnsi="Arial" w:cs="Arial"/>
          <w:sz w:val="24"/>
          <w:szCs w:val="24"/>
        </w:rPr>
      </w:pPr>
      <w:r>
        <w:rPr>
          <w:rFonts w:ascii="Arial" w:hAnsi="Arial" w:cs="Arial"/>
          <w:b/>
          <w:bCs/>
          <w:sz w:val="24"/>
          <w:szCs w:val="24"/>
        </w:rPr>
        <w:t>ATENTO:</w:t>
      </w:r>
      <w:r>
        <w:rPr>
          <w:rFonts w:ascii="Arial" w:hAnsi="Arial" w:cs="Arial"/>
          <w:sz w:val="24"/>
          <w:szCs w:val="24"/>
        </w:rPr>
        <w:t xml:space="preserve"> a lo precedentemente expuesto;</w:t>
      </w:r>
    </w:p>
    <w:p w:rsidR="009A6736" w:rsidRPr="001A2AF0" w:rsidRDefault="001A2AF0" w:rsidP="001A2AF0">
      <w:pPr>
        <w:tabs>
          <w:tab w:val="left" w:pos="2977"/>
          <w:tab w:val="left" w:pos="3119"/>
        </w:tabs>
        <w:spacing w:after="0" w:line="360" w:lineRule="auto"/>
        <w:ind w:firstLine="851"/>
        <w:rPr>
          <w:rFonts w:ascii="Arial" w:hAnsi="Arial" w:cs="Arial"/>
          <w:sz w:val="24"/>
          <w:szCs w:val="24"/>
        </w:rPr>
      </w:pPr>
      <w:r>
        <w:rPr>
          <w:rFonts w:ascii="Arial" w:hAnsi="Arial" w:cs="Arial"/>
          <w:sz w:val="24"/>
          <w:szCs w:val="24"/>
        </w:rPr>
        <w:t xml:space="preserve">         </w:t>
      </w:r>
      <w:r w:rsidR="009A6736">
        <w:rPr>
          <w:rFonts w:ascii="Arial" w:hAnsi="Arial" w:cs="Arial"/>
          <w:b/>
          <w:bCs/>
          <w:sz w:val="24"/>
          <w:szCs w:val="24"/>
        </w:rPr>
        <w:t xml:space="preserve">EL TRIBUNAL </w:t>
      </w:r>
      <w:r>
        <w:rPr>
          <w:rFonts w:ascii="Arial" w:hAnsi="Arial" w:cs="Arial"/>
          <w:b/>
          <w:bCs/>
          <w:sz w:val="24"/>
          <w:szCs w:val="24"/>
        </w:rPr>
        <w:t xml:space="preserve">POR MAYORIA </w:t>
      </w:r>
      <w:r w:rsidR="009A6736">
        <w:rPr>
          <w:rFonts w:ascii="Arial" w:hAnsi="Arial" w:cs="Arial"/>
          <w:b/>
          <w:bCs/>
          <w:sz w:val="24"/>
          <w:szCs w:val="24"/>
        </w:rPr>
        <w:t>ACUERDA</w:t>
      </w:r>
    </w:p>
    <w:p w:rsidR="000E1221" w:rsidRDefault="000E1221" w:rsidP="003A2224">
      <w:pPr>
        <w:tabs>
          <w:tab w:val="left" w:pos="2977"/>
          <w:tab w:val="left" w:pos="3119"/>
        </w:tabs>
        <w:spacing w:after="0" w:line="360" w:lineRule="auto"/>
        <w:ind w:left="284" w:hanging="284"/>
        <w:rPr>
          <w:rFonts w:ascii="Arial" w:hAnsi="Arial" w:cs="Arial"/>
          <w:bCs/>
          <w:sz w:val="24"/>
          <w:szCs w:val="24"/>
        </w:rPr>
      </w:pPr>
      <w:r>
        <w:rPr>
          <w:rFonts w:ascii="Arial" w:hAnsi="Arial" w:cs="Arial"/>
          <w:b/>
          <w:bCs/>
          <w:sz w:val="24"/>
          <w:szCs w:val="24"/>
        </w:rPr>
        <w:t xml:space="preserve">1) </w:t>
      </w:r>
      <w:r w:rsidR="003A2224">
        <w:rPr>
          <w:rFonts w:ascii="Arial" w:hAnsi="Arial" w:cs="Arial"/>
          <w:bCs/>
          <w:sz w:val="24"/>
          <w:szCs w:val="24"/>
        </w:rPr>
        <w:t>Mantener el dictamen de 10/07/13 emitido sobre los Estados Contables de PLUNA E.A. al 31 de diciembre de 2012; y</w:t>
      </w:r>
    </w:p>
    <w:p w:rsidR="003A2224" w:rsidRDefault="003A2224" w:rsidP="000E1221">
      <w:pPr>
        <w:tabs>
          <w:tab w:val="left" w:pos="2977"/>
          <w:tab w:val="left" w:pos="3119"/>
        </w:tabs>
        <w:spacing w:after="0" w:line="360" w:lineRule="auto"/>
        <w:rPr>
          <w:rFonts w:ascii="Arial" w:hAnsi="Arial" w:cs="Arial"/>
          <w:bCs/>
          <w:sz w:val="24"/>
          <w:szCs w:val="24"/>
        </w:rPr>
      </w:pPr>
      <w:r w:rsidRPr="003A2224">
        <w:rPr>
          <w:rFonts w:ascii="Arial" w:hAnsi="Arial" w:cs="Arial"/>
          <w:b/>
          <w:bCs/>
          <w:sz w:val="24"/>
          <w:szCs w:val="24"/>
        </w:rPr>
        <w:t>2)</w:t>
      </w:r>
      <w:r>
        <w:rPr>
          <w:rFonts w:ascii="Arial" w:hAnsi="Arial" w:cs="Arial"/>
          <w:b/>
          <w:bCs/>
          <w:sz w:val="24"/>
          <w:szCs w:val="24"/>
        </w:rPr>
        <w:t xml:space="preserve"> </w:t>
      </w:r>
      <w:r>
        <w:rPr>
          <w:rFonts w:ascii="Arial" w:hAnsi="Arial" w:cs="Arial"/>
          <w:bCs/>
          <w:sz w:val="24"/>
          <w:szCs w:val="24"/>
        </w:rPr>
        <w:t>Comunicar la presente resolución al Organismo y al Poder Ejecutivo.</w:t>
      </w:r>
    </w:p>
    <w:p w:rsidR="003A2224" w:rsidRDefault="003A2224" w:rsidP="000E1221">
      <w:pPr>
        <w:tabs>
          <w:tab w:val="left" w:pos="2977"/>
          <w:tab w:val="left" w:pos="3119"/>
        </w:tabs>
        <w:spacing w:after="0" w:line="360" w:lineRule="auto"/>
        <w:rPr>
          <w:rFonts w:ascii="Arial" w:hAnsi="Arial" w:cs="Arial"/>
          <w:bCs/>
          <w:sz w:val="24"/>
          <w:szCs w:val="24"/>
        </w:rPr>
      </w:pPr>
    </w:p>
    <w:p w:rsidR="003A2224" w:rsidRPr="007F5870" w:rsidRDefault="003A2224" w:rsidP="007F5870">
      <w:pPr>
        <w:spacing w:after="0" w:line="360" w:lineRule="auto"/>
        <w:jc w:val="both"/>
        <w:rPr>
          <w:rFonts w:ascii="Arial" w:hAnsi="Arial" w:cs="Arial"/>
          <w:sz w:val="24"/>
          <w:szCs w:val="24"/>
        </w:rPr>
      </w:pPr>
      <w:r w:rsidRPr="007F5870">
        <w:rPr>
          <w:rFonts w:ascii="Arial" w:hAnsi="Arial" w:cs="Arial"/>
          <w:b/>
          <w:sz w:val="24"/>
          <w:szCs w:val="24"/>
        </w:rPr>
        <w:t>CONSTANCIA DE FUNDAMENTO DE VOTO DISCORDE DE LA MINISTRA             CRA. DIANA MARCOS:</w:t>
      </w:r>
      <w:r w:rsidR="007F5870" w:rsidRPr="007F5870">
        <w:rPr>
          <w:rFonts w:ascii="Arial" w:hAnsi="Arial" w:cs="Arial"/>
          <w:b/>
          <w:sz w:val="24"/>
          <w:szCs w:val="24"/>
        </w:rPr>
        <w:t xml:space="preserve"> “</w:t>
      </w:r>
      <w:r w:rsidRPr="007F5870">
        <w:rPr>
          <w:rFonts w:ascii="Arial" w:hAnsi="Arial" w:cs="Arial"/>
          <w:sz w:val="24"/>
          <w:szCs w:val="24"/>
        </w:rPr>
        <w:t>El Dictamen con Opinión Adversa del Tribunal está basado fundamentalmente en el incumplimiento de la NIC 37 que trata sobre provisiones, pasivos contingentes y activos contingentes, por entender que no se ha reconocido una provisión por su participación en PLUNA S.A.</w:t>
      </w:r>
    </w:p>
    <w:p w:rsidR="003A2224" w:rsidRPr="007F5870" w:rsidRDefault="003A2224" w:rsidP="007F5870">
      <w:pPr>
        <w:spacing w:after="0" w:line="360" w:lineRule="auto"/>
        <w:jc w:val="both"/>
        <w:rPr>
          <w:rFonts w:ascii="Arial" w:hAnsi="Arial" w:cs="Arial"/>
          <w:sz w:val="24"/>
          <w:szCs w:val="24"/>
        </w:rPr>
      </w:pPr>
      <w:r w:rsidRPr="007F5870">
        <w:rPr>
          <w:rFonts w:ascii="Arial" w:hAnsi="Arial" w:cs="Arial"/>
          <w:sz w:val="24"/>
          <w:szCs w:val="24"/>
        </w:rPr>
        <w:t>Puntualmente respecto a la NIC 37, dicha norma establece que “una provisión es un pasivo en el que existe incertidumbre acerca de su cuantía o vencimiento”.</w:t>
      </w:r>
    </w:p>
    <w:p w:rsidR="003A2224" w:rsidRPr="007F5870" w:rsidRDefault="003A2224" w:rsidP="007F5870">
      <w:pPr>
        <w:spacing w:after="0" w:line="360" w:lineRule="auto"/>
        <w:jc w:val="both"/>
        <w:rPr>
          <w:rFonts w:ascii="Arial" w:hAnsi="Arial" w:cs="Arial"/>
          <w:sz w:val="24"/>
          <w:szCs w:val="24"/>
        </w:rPr>
      </w:pPr>
      <w:r w:rsidRPr="007F5870">
        <w:rPr>
          <w:rFonts w:ascii="Arial" w:hAnsi="Arial" w:cs="Arial"/>
          <w:sz w:val="24"/>
          <w:szCs w:val="24"/>
        </w:rPr>
        <w:t>El párrafo 12 de la NIC 37 dispone que “en una acepción general, todas las provisiones son de naturaleza contingente, puesto que existe incertidumbre sobre el monto del vencimiento o sobre el importe correspondiente”.</w:t>
      </w:r>
    </w:p>
    <w:p w:rsidR="003A2224" w:rsidRPr="007F5870" w:rsidRDefault="003A2224" w:rsidP="007F5870">
      <w:pPr>
        <w:spacing w:after="0" w:line="360" w:lineRule="auto"/>
        <w:jc w:val="both"/>
        <w:rPr>
          <w:rFonts w:ascii="Arial" w:hAnsi="Arial" w:cs="Arial"/>
          <w:sz w:val="24"/>
          <w:szCs w:val="24"/>
        </w:rPr>
      </w:pPr>
      <w:r w:rsidRPr="007F5870">
        <w:rPr>
          <w:rFonts w:ascii="Arial" w:hAnsi="Arial" w:cs="Arial"/>
          <w:sz w:val="24"/>
          <w:szCs w:val="24"/>
        </w:rPr>
        <w:t>Sin embargo en esta norma, el término “contingente se utiliza para designar activos y pasivos que no han sido objeto de reconocimiento en los estados financieros,  porque su existencia quedará confirmada solamente tras la ocurrencia  de uno o más sucesos futuros inciertos que no están totalmente bajo el control de la Entidad.</w:t>
      </w:r>
    </w:p>
    <w:p w:rsidR="003A2224" w:rsidRPr="007F5870" w:rsidRDefault="003A2224" w:rsidP="007F5870">
      <w:pPr>
        <w:spacing w:after="0" w:line="360" w:lineRule="auto"/>
        <w:jc w:val="both"/>
        <w:rPr>
          <w:rFonts w:ascii="Arial" w:hAnsi="Arial" w:cs="Arial"/>
          <w:sz w:val="24"/>
          <w:szCs w:val="24"/>
        </w:rPr>
      </w:pPr>
      <w:r w:rsidRPr="007F5870">
        <w:rPr>
          <w:rFonts w:ascii="Arial" w:hAnsi="Arial" w:cs="Arial"/>
          <w:sz w:val="24"/>
          <w:szCs w:val="24"/>
        </w:rPr>
        <w:t xml:space="preserve">Como expresa </w:t>
      </w:r>
      <w:proofErr w:type="spellStart"/>
      <w:r w:rsidRPr="007F5870">
        <w:rPr>
          <w:rFonts w:ascii="Arial" w:hAnsi="Arial" w:cs="Arial"/>
          <w:sz w:val="24"/>
          <w:szCs w:val="24"/>
        </w:rPr>
        <w:t>Pluna</w:t>
      </w:r>
      <w:proofErr w:type="spellEnd"/>
      <w:r w:rsidRPr="007F5870">
        <w:rPr>
          <w:rFonts w:ascii="Arial" w:hAnsi="Arial" w:cs="Arial"/>
          <w:sz w:val="24"/>
          <w:szCs w:val="24"/>
        </w:rPr>
        <w:t xml:space="preserve"> ente Autónomo  “ con fecha 24 de mayo de 2013, el organismo recibió una intimación judicial, llevada a cabo  por el síndico designado en el expediente caratulado “</w:t>
      </w:r>
      <w:proofErr w:type="spellStart"/>
      <w:r w:rsidRPr="007F5870">
        <w:rPr>
          <w:rFonts w:ascii="Arial" w:hAnsi="Arial" w:cs="Arial"/>
          <w:sz w:val="24"/>
          <w:szCs w:val="24"/>
        </w:rPr>
        <w:t>Pluna</w:t>
      </w:r>
      <w:proofErr w:type="spellEnd"/>
      <w:r w:rsidRPr="007F5870">
        <w:rPr>
          <w:rFonts w:ascii="Arial" w:hAnsi="Arial" w:cs="Arial"/>
          <w:sz w:val="24"/>
          <w:szCs w:val="24"/>
        </w:rPr>
        <w:t xml:space="preserve"> Líneas Aéreas Uruguayas S.A- Concurso de la Ley 18387” a través de la cual se nos exige el pago que correspondería como accionista de </w:t>
      </w:r>
      <w:proofErr w:type="spellStart"/>
      <w:r w:rsidRPr="007F5870">
        <w:rPr>
          <w:rFonts w:ascii="Arial" w:hAnsi="Arial" w:cs="Arial"/>
          <w:sz w:val="24"/>
          <w:szCs w:val="24"/>
        </w:rPr>
        <w:t>Pluna</w:t>
      </w:r>
      <w:proofErr w:type="spellEnd"/>
      <w:r w:rsidRPr="007F5870">
        <w:rPr>
          <w:rFonts w:ascii="Arial" w:hAnsi="Arial" w:cs="Arial"/>
          <w:sz w:val="24"/>
          <w:szCs w:val="24"/>
        </w:rPr>
        <w:t xml:space="preserve"> S.A., como consecuencia de lo resuelto en la Asamblea Extraordinaria de Accionistas en la que existió la disposición para realizar un reintegro de fondos  para la recomposición del patrimonio, disposición que se postergó hasta el 31 de diciembre de 2012.</w:t>
      </w:r>
    </w:p>
    <w:p w:rsidR="003A2224" w:rsidRPr="007F5870" w:rsidRDefault="003A2224" w:rsidP="007F5870">
      <w:pPr>
        <w:spacing w:after="0" w:line="360" w:lineRule="auto"/>
        <w:jc w:val="both"/>
        <w:rPr>
          <w:rFonts w:ascii="Arial" w:hAnsi="Arial" w:cs="Arial"/>
          <w:sz w:val="24"/>
          <w:szCs w:val="24"/>
        </w:rPr>
      </w:pPr>
      <w:r w:rsidRPr="007F5870">
        <w:rPr>
          <w:rFonts w:ascii="Arial" w:hAnsi="Arial" w:cs="Arial"/>
          <w:sz w:val="24"/>
          <w:szCs w:val="24"/>
        </w:rPr>
        <w:t>Dicha intimación, fue contestada oportunamente, concluyéndose respecto de la inexistencia de obligación de reintegro del capital intimado.</w:t>
      </w:r>
    </w:p>
    <w:p w:rsidR="003A2224" w:rsidRPr="007F5870" w:rsidRDefault="003A2224" w:rsidP="007F5870">
      <w:pPr>
        <w:spacing w:after="0" w:line="360" w:lineRule="auto"/>
        <w:jc w:val="both"/>
        <w:rPr>
          <w:rFonts w:ascii="Arial" w:hAnsi="Arial" w:cs="Arial"/>
          <w:sz w:val="24"/>
          <w:szCs w:val="24"/>
        </w:rPr>
      </w:pPr>
      <w:r w:rsidRPr="007F5870">
        <w:rPr>
          <w:rFonts w:ascii="Arial" w:hAnsi="Arial" w:cs="Arial"/>
          <w:sz w:val="24"/>
          <w:szCs w:val="24"/>
        </w:rPr>
        <w:t>El haber tomado conocimiento de esta intimación judicial con fecha posterior al cierre del ejercicio económico, no modifica en modo alguno, todo lo expresado previamente respecto de la convicción de la inexistencia de la obligación intimada.</w:t>
      </w:r>
    </w:p>
    <w:p w:rsidR="003A2224" w:rsidRPr="007F5870" w:rsidRDefault="003A2224" w:rsidP="007F5870">
      <w:pPr>
        <w:spacing w:after="0" w:line="360" w:lineRule="auto"/>
        <w:jc w:val="both"/>
        <w:rPr>
          <w:rFonts w:ascii="Arial" w:hAnsi="Arial" w:cs="Arial"/>
          <w:sz w:val="24"/>
          <w:szCs w:val="24"/>
        </w:rPr>
      </w:pPr>
      <w:r w:rsidRPr="007F5870">
        <w:rPr>
          <w:rFonts w:ascii="Arial" w:hAnsi="Arial" w:cs="Arial"/>
          <w:sz w:val="24"/>
          <w:szCs w:val="24"/>
        </w:rPr>
        <w:t>No obstante, este hecho podría estar comprendido en lo establecido en el párrafo 10 de la ya analizada NIC 37, ya que la situación planteada “no está enteramente bajo el control de la entidad”. En efecto, un dictamen judicial será seguramente  el que finalmente defina la cuestión.</w:t>
      </w:r>
    </w:p>
    <w:p w:rsidR="003A2224" w:rsidRPr="007F5870" w:rsidRDefault="003A2224" w:rsidP="007F5870">
      <w:pPr>
        <w:spacing w:after="0" w:line="360" w:lineRule="auto"/>
        <w:jc w:val="both"/>
        <w:rPr>
          <w:rFonts w:ascii="Arial" w:hAnsi="Arial" w:cs="Arial"/>
          <w:sz w:val="24"/>
          <w:szCs w:val="24"/>
        </w:rPr>
      </w:pPr>
      <w:r w:rsidRPr="007F5870">
        <w:rPr>
          <w:rFonts w:ascii="Arial" w:hAnsi="Arial" w:cs="Arial"/>
          <w:sz w:val="24"/>
          <w:szCs w:val="24"/>
        </w:rPr>
        <w:t>Por tanto, entendemos que si bien no existen normas que establezcan que la situación señalada, debe registrarse en el Pasivo como una Provisión, como sostiene el informe del Tribunal de Cuentas, el hecho mencionado podría ser objeto de revelación mediante una nota a los estados contables, conforme lo establece el párrafo 27 de la propia NIC 37.”</w:t>
      </w:r>
    </w:p>
    <w:p w:rsidR="003A2224" w:rsidRPr="007F5870" w:rsidRDefault="003A2224" w:rsidP="007F5870">
      <w:pPr>
        <w:spacing w:after="0" w:line="360" w:lineRule="auto"/>
        <w:jc w:val="both"/>
        <w:rPr>
          <w:rFonts w:ascii="Arial" w:hAnsi="Arial" w:cs="Arial"/>
          <w:sz w:val="24"/>
          <w:szCs w:val="24"/>
        </w:rPr>
      </w:pPr>
      <w:r w:rsidRPr="007F5870">
        <w:rPr>
          <w:rFonts w:ascii="Arial" w:hAnsi="Arial" w:cs="Arial"/>
          <w:sz w:val="24"/>
          <w:szCs w:val="24"/>
        </w:rPr>
        <w:t xml:space="preserve">Por lo tanto no existe ninguna obligación legal de la sociedad ni del accionista de reintegrar el capital perdido, lo cual reafirma la correcta aplicación del criterio adoptado al exponer el Pasivo en los Estados Contables de </w:t>
      </w:r>
      <w:proofErr w:type="spellStart"/>
      <w:r w:rsidRPr="007F5870">
        <w:rPr>
          <w:rFonts w:ascii="Arial" w:hAnsi="Arial" w:cs="Arial"/>
          <w:sz w:val="24"/>
          <w:szCs w:val="24"/>
        </w:rPr>
        <w:t>Pluna</w:t>
      </w:r>
      <w:proofErr w:type="spellEnd"/>
      <w:r w:rsidRPr="007F5870">
        <w:rPr>
          <w:rFonts w:ascii="Arial" w:hAnsi="Arial" w:cs="Arial"/>
          <w:sz w:val="24"/>
          <w:szCs w:val="24"/>
        </w:rPr>
        <w:t xml:space="preserve"> Ente al 31 de diciembre de 2012.-</w:t>
      </w:r>
    </w:p>
    <w:p w:rsidR="007F5870" w:rsidRDefault="007F5870" w:rsidP="007F5870">
      <w:pPr>
        <w:spacing w:after="0" w:line="360" w:lineRule="auto"/>
        <w:jc w:val="both"/>
        <w:rPr>
          <w:rFonts w:ascii="Arial" w:hAnsi="Arial" w:cs="Arial"/>
          <w:sz w:val="24"/>
          <w:szCs w:val="24"/>
        </w:rPr>
      </w:pPr>
    </w:p>
    <w:p w:rsidR="007F5870" w:rsidRDefault="007F5870" w:rsidP="00AC029D">
      <w:pPr>
        <w:spacing w:line="360" w:lineRule="auto"/>
        <w:jc w:val="both"/>
        <w:rPr>
          <w:rFonts w:ascii="Arial" w:hAnsi="Arial" w:cs="Arial"/>
          <w:szCs w:val="24"/>
        </w:rPr>
      </w:pPr>
    </w:p>
    <w:p w:rsidR="0060411C" w:rsidRDefault="007F5870" w:rsidP="003012E4">
      <w:pPr>
        <w:spacing w:after="0" w:line="360" w:lineRule="auto"/>
        <w:jc w:val="both"/>
        <w:rPr>
          <w:rFonts w:ascii="Arial" w:hAnsi="Arial" w:cs="Arial"/>
          <w:sz w:val="24"/>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sidRPr="00837E21">
        <w:rPr>
          <w:rFonts w:ascii="Arial" w:hAnsi="Arial" w:cs="Arial"/>
          <w:b/>
          <w:szCs w:val="24"/>
        </w:rPr>
        <w:t xml:space="preserve">MINISTRO </w:t>
      </w:r>
      <w:r>
        <w:rPr>
          <w:rFonts w:ascii="Arial" w:hAnsi="Arial" w:cs="Arial"/>
          <w:b/>
          <w:szCs w:val="24"/>
        </w:rPr>
        <w:t>LEON LEV</w:t>
      </w:r>
      <w:r w:rsidRPr="005C0AC0">
        <w:rPr>
          <w:rFonts w:ascii="Arial" w:hAnsi="Arial" w:cs="Arial"/>
          <w:b/>
          <w:szCs w:val="24"/>
        </w:rPr>
        <w:t>:</w:t>
      </w:r>
      <w:r>
        <w:rPr>
          <w:rFonts w:ascii="Arial" w:hAnsi="Arial" w:cs="Arial"/>
          <w:szCs w:val="24"/>
        </w:rPr>
        <w:t xml:space="preserve"> “</w:t>
      </w:r>
      <w:proofErr w:type="spellStart"/>
      <w:r w:rsidR="003012E4" w:rsidRPr="003012E4">
        <w:rPr>
          <w:rFonts w:ascii="Arial" w:hAnsi="Arial" w:cs="Arial"/>
          <w:sz w:val="24"/>
          <w:szCs w:val="24"/>
        </w:rPr>
        <w:t>Pluna</w:t>
      </w:r>
      <w:proofErr w:type="spellEnd"/>
      <w:r w:rsidR="003012E4" w:rsidRPr="003012E4">
        <w:rPr>
          <w:rFonts w:ascii="Arial" w:hAnsi="Arial" w:cs="Arial"/>
          <w:sz w:val="24"/>
          <w:szCs w:val="24"/>
        </w:rPr>
        <w:t xml:space="preserve"> Ente Autónomo </w:t>
      </w:r>
      <w:proofErr w:type="spellStart"/>
      <w:r w:rsidR="003012E4" w:rsidRPr="003012E4">
        <w:rPr>
          <w:rFonts w:ascii="Arial" w:hAnsi="Arial" w:cs="Arial"/>
          <w:sz w:val="24"/>
          <w:szCs w:val="24"/>
        </w:rPr>
        <w:t>solicitò</w:t>
      </w:r>
      <w:proofErr w:type="spellEnd"/>
      <w:r w:rsidR="003012E4" w:rsidRPr="003012E4">
        <w:rPr>
          <w:rFonts w:ascii="Arial" w:hAnsi="Arial" w:cs="Arial"/>
          <w:sz w:val="24"/>
          <w:szCs w:val="24"/>
        </w:rPr>
        <w:t xml:space="preserve"> reconsideración del Dictamen emitido, el 10 de Julio del 2013 sobre sus Estados contables al 31 de Diciembre del 2012</w:t>
      </w:r>
      <w:r w:rsidR="0060411C">
        <w:rPr>
          <w:rFonts w:ascii="Arial" w:hAnsi="Arial" w:cs="Arial"/>
          <w:sz w:val="24"/>
          <w:szCs w:val="24"/>
        </w:rPr>
        <w:t>.</w:t>
      </w:r>
    </w:p>
    <w:p w:rsidR="006D02BA" w:rsidRDefault="003012E4" w:rsidP="003012E4">
      <w:pPr>
        <w:spacing w:after="0" w:line="360" w:lineRule="auto"/>
        <w:jc w:val="both"/>
        <w:rPr>
          <w:rFonts w:ascii="Arial" w:hAnsi="Arial" w:cs="Arial"/>
          <w:sz w:val="24"/>
          <w:szCs w:val="24"/>
        </w:rPr>
      </w:pPr>
      <w:r w:rsidRPr="003012E4">
        <w:rPr>
          <w:rFonts w:ascii="Arial" w:hAnsi="Arial" w:cs="Arial"/>
          <w:sz w:val="24"/>
          <w:szCs w:val="24"/>
        </w:rPr>
        <w:t>El Ente en su Pedido de Reconsideración del dictamen señala que</w:t>
      </w:r>
      <w:r w:rsidR="0060411C">
        <w:rPr>
          <w:rFonts w:ascii="Arial" w:hAnsi="Arial" w:cs="Arial"/>
          <w:sz w:val="24"/>
          <w:szCs w:val="24"/>
        </w:rPr>
        <w:t>:</w:t>
      </w:r>
    </w:p>
    <w:p w:rsidR="003012E4" w:rsidRPr="003012E4" w:rsidRDefault="003012E4" w:rsidP="003012E4">
      <w:pPr>
        <w:spacing w:after="0" w:line="360" w:lineRule="auto"/>
        <w:jc w:val="both"/>
        <w:rPr>
          <w:rFonts w:ascii="Arial" w:hAnsi="Arial" w:cs="Arial"/>
          <w:sz w:val="24"/>
          <w:szCs w:val="24"/>
        </w:rPr>
      </w:pPr>
      <w:r w:rsidRPr="003012E4">
        <w:rPr>
          <w:rFonts w:ascii="Arial" w:hAnsi="Arial" w:cs="Arial"/>
          <w:sz w:val="24"/>
          <w:szCs w:val="24"/>
        </w:rPr>
        <w:t xml:space="preserve">“Este Balance a Junio del 2012 nunca </w:t>
      </w:r>
      <w:proofErr w:type="spellStart"/>
      <w:r w:rsidRPr="003012E4">
        <w:rPr>
          <w:rFonts w:ascii="Arial" w:hAnsi="Arial" w:cs="Arial"/>
          <w:sz w:val="24"/>
          <w:szCs w:val="24"/>
        </w:rPr>
        <w:t>llegò</w:t>
      </w:r>
      <w:proofErr w:type="spellEnd"/>
      <w:r w:rsidRPr="003012E4">
        <w:rPr>
          <w:rFonts w:ascii="Arial" w:hAnsi="Arial" w:cs="Arial"/>
          <w:sz w:val="24"/>
          <w:szCs w:val="24"/>
        </w:rPr>
        <w:t xml:space="preserve"> formularse debido a la insolvencia de PLUNA, quien promovió procedimiento de concurso el 9 de Julio de 2012, solicitando expresamente el pasaje directo a la etapa de liquidación por la Ley </w:t>
      </w:r>
      <w:r>
        <w:rPr>
          <w:rFonts w:ascii="Arial" w:hAnsi="Arial" w:cs="Arial"/>
          <w:sz w:val="24"/>
          <w:szCs w:val="24"/>
        </w:rPr>
        <w:t xml:space="preserve">N° </w:t>
      </w:r>
      <w:r w:rsidRPr="003012E4">
        <w:rPr>
          <w:rFonts w:ascii="Arial" w:hAnsi="Arial" w:cs="Arial"/>
          <w:sz w:val="24"/>
          <w:szCs w:val="24"/>
        </w:rPr>
        <w:t>18</w:t>
      </w:r>
      <w:r>
        <w:rPr>
          <w:rFonts w:ascii="Arial" w:hAnsi="Arial" w:cs="Arial"/>
          <w:sz w:val="24"/>
          <w:szCs w:val="24"/>
        </w:rPr>
        <w:t>.</w:t>
      </w:r>
      <w:r w:rsidRPr="003012E4">
        <w:rPr>
          <w:rFonts w:ascii="Arial" w:hAnsi="Arial" w:cs="Arial"/>
          <w:sz w:val="24"/>
          <w:szCs w:val="24"/>
        </w:rPr>
        <w:t>387 “</w:t>
      </w:r>
    </w:p>
    <w:p w:rsidR="003012E4" w:rsidRPr="003012E4" w:rsidRDefault="003012E4" w:rsidP="003012E4">
      <w:pPr>
        <w:spacing w:after="0" w:line="360" w:lineRule="auto"/>
        <w:jc w:val="both"/>
        <w:rPr>
          <w:rFonts w:ascii="Arial" w:hAnsi="Arial" w:cs="Arial"/>
          <w:sz w:val="24"/>
          <w:szCs w:val="24"/>
        </w:rPr>
      </w:pPr>
      <w:r w:rsidRPr="003012E4">
        <w:rPr>
          <w:rFonts w:ascii="Arial" w:hAnsi="Arial" w:cs="Arial"/>
          <w:sz w:val="24"/>
          <w:szCs w:val="24"/>
        </w:rPr>
        <w:t>“</w:t>
      </w:r>
      <w:proofErr w:type="spellStart"/>
      <w:r w:rsidRPr="003012E4">
        <w:rPr>
          <w:rFonts w:ascii="Arial" w:hAnsi="Arial" w:cs="Arial"/>
          <w:sz w:val="24"/>
          <w:szCs w:val="24"/>
        </w:rPr>
        <w:t>Pluna</w:t>
      </w:r>
      <w:proofErr w:type="spellEnd"/>
      <w:r w:rsidRPr="003012E4">
        <w:rPr>
          <w:rFonts w:ascii="Arial" w:hAnsi="Arial" w:cs="Arial"/>
          <w:sz w:val="24"/>
          <w:szCs w:val="24"/>
        </w:rPr>
        <w:t xml:space="preserve"> Ente </w:t>
      </w:r>
      <w:proofErr w:type="spellStart"/>
      <w:r w:rsidRPr="003012E4">
        <w:rPr>
          <w:rFonts w:ascii="Arial" w:hAnsi="Arial" w:cs="Arial"/>
          <w:sz w:val="24"/>
          <w:szCs w:val="24"/>
        </w:rPr>
        <w:t>cumpliò</w:t>
      </w:r>
      <w:proofErr w:type="spellEnd"/>
      <w:r w:rsidRPr="003012E4">
        <w:rPr>
          <w:rFonts w:ascii="Arial" w:hAnsi="Arial" w:cs="Arial"/>
          <w:sz w:val="24"/>
          <w:szCs w:val="24"/>
        </w:rPr>
        <w:t xml:space="preserve"> con la NIC 28 en la medida que las </w:t>
      </w:r>
      <w:proofErr w:type="spellStart"/>
      <w:r w:rsidRPr="003012E4">
        <w:rPr>
          <w:rFonts w:ascii="Arial" w:hAnsi="Arial" w:cs="Arial"/>
          <w:sz w:val="24"/>
          <w:szCs w:val="24"/>
        </w:rPr>
        <w:t>pèrdidas</w:t>
      </w:r>
      <w:proofErr w:type="spellEnd"/>
      <w:r w:rsidRPr="003012E4">
        <w:rPr>
          <w:rFonts w:ascii="Arial" w:hAnsi="Arial" w:cs="Arial"/>
          <w:sz w:val="24"/>
          <w:szCs w:val="24"/>
        </w:rPr>
        <w:t xml:space="preserve"> de la asociada </w:t>
      </w:r>
      <w:proofErr w:type="gramStart"/>
      <w:r w:rsidRPr="003012E4">
        <w:rPr>
          <w:rFonts w:ascii="Arial" w:hAnsi="Arial" w:cs="Arial"/>
          <w:sz w:val="24"/>
          <w:szCs w:val="24"/>
        </w:rPr>
        <w:t>( PLUNA</w:t>
      </w:r>
      <w:proofErr w:type="gramEnd"/>
      <w:r w:rsidRPr="003012E4">
        <w:rPr>
          <w:rFonts w:ascii="Arial" w:hAnsi="Arial" w:cs="Arial"/>
          <w:sz w:val="24"/>
          <w:szCs w:val="24"/>
        </w:rPr>
        <w:t xml:space="preserve"> SA ) </w:t>
      </w:r>
      <w:proofErr w:type="spellStart"/>
      <w:r w:rsidRPr="003012E4">
        <w:rPr>
          <w:rFonts w:ascii="Arial" w:hAnsi="Arial" w:cs="Arial"/>
          <w:sz w:val="24"/>
          <w:szCs w:val="24"/>
        </w:rPr>
        <w:t>excedìan</w:t>
      </w:r>
      <w:proofErr w:type="spellEnd"/>
      <w:r w:rsidRPr="003012E4">
        <w:rPr>
          <w:rFonts w:ascii="Arial" w:hAnsi="Arial" w:cs="Arial"/>
          <w:sz w:val="24"/>
          <w:szCs w:val="24"/>
        </w:rPr>
        <w:t xml:space="preserve"> la inversión realizada en la misma, se </w:t>
      </w:r>
      <w:proofErr w:type="spellStart"/>
      <w:r w:rsidRPr="003012E4">
        <w:rPr>
          <w:rFonts w:ascii="Arial" w:hAnsi="Arial" w:cs="Arial"/>
          <w:sz w:val="24"/>
          <w:szCs w:val="24"/>
        </w:rPr>
        <w:t>dejò</w:t>
      </w:r>
      <w:proofErr w:type="spellEnd"/>
      <w:r w:rsidRPr="003012E4">
        <w:rPr>
          <w:rFonts w:ascii="Arial" w:hAnsi="Arial" w:cs="Arial"/>
          <w:sz w:val="24"/>
          <w:szCs w:val="24"/>
        </w:rPr>
        <w:t xml:space="preserve"> de reconocer la parte que pudiera corresponder en las </w:t>
      </w:r>
      <w:proofErr w:type="spellStart"/>
      <w:r w:rsidRPr="003012E4">
        <w:rPr>
          <w:rFonts w:ascii="Arial" w:hAnsi="Arial" w:cs="Arial"/>
          <w:sz w:val="24"/>
          <w:szCs w:val="24"/>
        </w:rPr>
        <w:t>pèrdidas</w:t>
      </w:r>
      <w:proofErr w:type="spellEnd"/>
      <w:r w:rsidRPr="003012E4">
        <w:rPr>
          <w:rFonts w:ascii="Arial" w:hAnsi="Arial" w:cs="Arial"/>
          <w:sz w:val="24"/>
          <w:szCs w:val="24"/>
        </w:rPr>
        <w:t xml:space="preserve"> adicionales.”</w:t>
      </w:r>
    </w:p>
    <w:p w:rsidR="003012E4" w:rsidRPr="003012E4" w:rsidRDefault="003012E4" w:rsidP="003012E4">
      <w:pPr>
        <w:spacing w:after="0" w:line="360" w:lineRule="auto"/>
        <w:jc w:val="both"/>
        <w:rPr>
          <w:rFonts w:ascii="Arial" w:hAnsi="Arial" w:cs="Arial"/>
          <w:sz w:val="24"/>
          <w:szCs w:val="24"/>
        </w:rPr>
      </w:pPr>
      <w:r w:rsidRPr="00E5007B">
        <w:rPr>
          <w:rFonts w:ascii="Arial" w:hAnsi="Arial" w:cs="Arial"/>
          <w:b/>
          <w:sz w:val="24"/>
          <w:szCs w:val="24"/>
        </w:rPr>
        <w:t>I)</w:t>
      </w:r>
      <w:r w:rsidRPr="003012E4">
        <w:rPr>
          <w:rFonts w:ascii="Arial" w:hAnsi="Arial" w:cs="Arial"/>
          <w:sz w:val="24"/>
          <w:szCs w:val="24"/>
        </w:rPr>
        <w:t xml:space="preserve"> El tema central de la discordia </w:t>
      </w:r>
      <w:proofErr w:type="spellStart"/>
      <w:r w:rsidRPr="003012E4">
        <w:rPr>
          <w:rFonts w:ascii="Arial" w:hAnsi="Arial" w:cs="Arial"/>
          <w:sz w:val="24"/>
          <w:szCs w:val="24"/>
        </w:rPr>
        <w:t>està</w:t>
      </w:r>
      <w:proofErr w:type="spellEnd"/>
      <w:r w:rsidRPr="003012E4">
        <w:rPr>
          <w:rFonts w:ascii="Arial" w:hAnsi="Arial" w:cs="Arial"/>
          <w:sz w:val="24"/>
          <w:szCs w:val="24"/>
        </w:rPr>
        <w:t xml:space="preserve"> planteado por la exigencia de una PROVISIÓN (Pasivo) mientras </w:t>
      </w:r>
      <w:proofErr w:type="spellStart"/>
      <w:r w:rsidRPr="003012E4">
        <w:rPr>
          <w:rFonts w:ascii="Arial" w:hAnsi="Arial" w:cs="Arial"/>
          <w:sz w:val="24"/>
          <w:szCs w:val="24"/>
        </w:rPr>
        <w:t>Pluna</w:t>
      </w:r>
      <w:proofErr w:type="spellEnd"/>
      <w:r w:rsidRPr="003012E4">
        <w:rPr>
          <w:rFonts w:ascii="Arial" w:hAnsi="Arial" w:cs="Arial"/>
          <w:sz w:val="24"/>
          <w:szCs w:val="24"/>
        </w:rPr>
        <w:t xml:space="preserve"> EA adjunta informe elaborado por </w:t>
      </w:r>
      <w:proofErr w:type="spellStart"/>
      <w:r w:rsidRPr="003012E4">
        <w:rPr>
          <w:rFonts w:ascii="Arial" w:hAnsi="Arial" w:cs="Arial"/>
          <w:sz w:val="24"/>
          <w:szCs w:val="24"/>
        </w:rPr>
        <w:t>Deloitte</w:t>
      </w:r>
      <w:proofErr w:type="spellEnd"/>
      <w:r w:rsidRPr="003012E4">
        <w:rPr>
          <w:rFonts w:ascii="Arial" w:hAnsi="Arial" w:cs="Arial"/>
          <w:sz w:val="24"/>
          <w:szCs w:val="24"/>
        </w:rPr>
        <w:t xml:space="preserve"> SA, donde se concluye en relación a la obligación mencionada que .</w:t>
      </w:r>
    </w:p>
    <w:p w:rsidR="003012E4" w:rsidRPr="003012E4" w:rsidRDefault="003012E4" w:rsidP="003012E4">
      <w:pPr>
        <w:spacing w:after="0" w:line="360" w:lineRule="auto"/>
        <w:jc w:val="both"/>
        <w:rPr>
          <w:rFonts w:ascii="Arial" w:hAnsi="Arial" w:cs="Arial"/>
          <w:sz w:val="24"/>
          <w:szCs w:val="24"/>
          <w:u w:val="single"/>
        </w:rPr>
      </w:pPr>
      <w:r w:rsidRPr="003012E4">
        <w:rPr>
          <w:rFonts w:ascii="Arial" w:hAnsi="Arial" w:cs="Arial"/>
          <w:sz w:val="24"/>
          <w:szCs w:val="24"/>
        </w:rPr>
        <w:t xml:space="preserve">“no vemos elementos de juicio que puedan respaldar la asignación de un mayor grado de probabilidad de ocurrencia que de no ocurrencia y/o que el importe en cuestión pueda ser determinado en forma suficientemente contable; lo que nos </w:t>
      </w:r>
      <w:proofErr w:type="spellStart"/>
      <w:r w:rsidRPr="003012E4">
        <w:rPr>
          <w:rFonts w:ascii="Arial" w:hAnsi="Arial" w:cs="Arial"/>
          <w:sz w:val="24"/>
          <w:szCs w:val="24"/>
        </w:rPr>
        <w:t>llevarìa</w:t>
      </w:r>
      <w:proofErr w:type="spellEnd"/>
      <w:r w:rsidRPr="003012E4">
        <w:rPr>
          <w:rFonts w:ascii="Arial" w:hAnsi="Arial" w:cs="Arial"/>
          <w:sz w:val="24"/>
          <w:szCs w:val="24"/>
        </w:rPr>
        <w:t xml:space="preserve"> a concluir que no corresponde el reconocimiento de una provisión (pasivo) en los estados contables de </w:t>
      </w:r>
      <w:proofErr w:type="spellStart"/>
      <w:r w:rsidRPr="003012E4">
        <w:rPr>
          <w:rFonts w:ascii="Arial" w:hAnsi="Arial" w:cs="Arial"/>
          <w:sz w:val="24"/>
          <w:szCs w:val="24"/>
        </w:rPr>
        <w:t>Pluna</w:t>
      </w:r>
      <w:proofErr w:type="spellEnd"/>
      <w:r w:rsidRPr="003012E4">
        <w:rPr>
          <w:rFonts w:ascii="Arial" w:hAnsi="Arial" w:cs="Arial"/>
          <w:sz w:val="24"/>
          <w:szCs w:val="24"/>
        </w:rPr>
        <w:t xml:space="preserve"> EA al 31 de siembre del 2012, </w:t>
      </w:r>
      <w:r w:rsidRPr="003012E4">
        <w:rPr>
          <w:rFonts w:ascii="Arial" w:hAnsi="Arial" w:cs="Arial"/>
          <w:sz w:val="24"/>
          <w:szCs w:val="24"/>
          <w:u w:val="single"/>
        </w:rPr>
        <w:t>pero la situación planteada podría ser objeto de revelación mediante notas a los mismos “</w:t>
      </w:r>
    </w:p>
    <w:p w:rsidR="003012E4" w:rsidRPr="003012E4" w:rsidRDefault="003012E4" w:rsidP="003012E4">
      <w:pPr>
        <w:spacing w:after="0" w:line="360" w:lineRule="auto"/>
        <w:jc w:val="both"/>
        <w:rPr>
          <w:rFonts w:ascii="Arial" w:hAnsi="Arial" w:cs="Arial"/>
          <w:sz w:val="24"/>
          <w:szCs w:val="24"/>
        </w:rPr>
      </w:pPr>
      <w:r w:rsidRPr="003012E4">
        <w:rPr>
          <w:rFonts w:ascii="Arial" w:hAnsi="Arial" w:cs="Arial"/>
          <w:sz w:val="24"/>
          <w:szCs w:val="24"/>
        </w:rPr>
        <w:t xml:space="preserve">Tanto es </w:t>
      </w:r>
      <w:proofErr w:type="spellStart"/>
      <w:r w:rsidRPr="003012E4">
        <w:rPr>
          <w:rFonts w:ascii="Arial" w:hAnsi="Arial" w:cs="Arial"/>
          <w:sz w:val="24"/>
          <w:szCs w:val="24"/>
        </w:rPr>
        <w:t>asì</w:t>
      </w:r>
      <w:proofErr w:type="spellEnd"/>
      <w:r w:rsidRPr="003012E4">
        <w:rPr>
          <w:rFonts w:ascii="Arial" w:hAnsi="Arial" w:cs="Arial"/>
          <w:sz w:val="24"/>
          <w:szCs w:val="24"/>
        </w:rPr>
        <w:t xml:space="preserve"> que el dictamen del Tribunal de </w:t>
      </w:r>
      <w:proofErr w:type="gramStart"/>
      <w:r w:rsidRPr="003012E4">
        <w:rPr>
          <w:rFonts w:ascii="Arial" w:hAnsi="Arial" w:cs="Arial"/>
          <w:sz w:val="24"/>
          <w:szCs w:val="24"/>
        </w:rPr>
        <w:t>Cuentas ,</w:t>
      </w:r>
      <w:proofErr w:type="gramEnd"/>
      <w:r w:rsidRPr="003012E4">
        <w:rPr>
          <w:rFonts w:ascii="Arial" w:hAnsi="Arial" w:cs="Arial"/>
          <w:sz w:val="24"/>
          <w:szCs w:val="24"/>
        </w:rPr>
        <w:t xml:space="preserve"> implícitamente reconoce lo solicitado en la reconsideración, al final del CONSIDERANDO  4 de la Resolución:</w:t>
      </w:r>
    </w:p>
    <w:p w:rsidR="003012E4" w:rsidRPr="003012E4" w:rsidRDefault="003012E4" w:rsidP="003012E4">
      <w:pPr>
        <w:spacing w:after="0" w:line="360" w:lineRule="auto"/>
        <w:jc w:val="both"/>
        <w:rPr>
          <w:rFonts w:ascii="Arial" w:hAnsi="Arial" w:cs="Arial"/>
          <w:b/>
          <w:bCs/>
          <w:sz w:val="24"/>
          <w:szCs w:val="24"/>
        </w:rPr>
      </w:pPr>
      <w:r w:rsidRPr="003012E4">
        <w:rPr>
          <w:rFonts w:ascii="Arial" w:hAnsi="Arial" w:cs="Arial"/>
          <w:sz w:val="24"/>
          <w:szCs w:val="24"/>
        </w:rPr>
        <w:t>“</w:t>
      </w:r>
      <w:r w:rsidRPr="003012E4">
        <w:rPr>
          <w:rFonts w:ascii="Arial" w:hAnsi="Arial" w:cs="Arial"/>
          <w:b/>
          <w:bCs/>
          <w:sz w:val="24"/>
          <w:szCs w:val="24"/>
        </w:rPr>
        <w:t>Corresponde destacar además  que, sin perjuicio de no reconocerse una provisión, la situación tampoco fue revelada mediante Notas “</w:t>
      </w:r>
    </w:p>
    <w:p w:rsidR="003012E4" w:rsidRPr="003012E4" w:rsidRDefault="003012E4" w:rsidP="003012E4">
      <w:pPr>
        <w:spacing w:after="0" w:line="360" w:lineRule="auto"/>
        <w:jc w:val="both"/>
        <w:rPr>
          <w:rFonts w:ascii="Arial" w:hAnsi="Arial" w:cs="Arial"/>
          <w:sz w:val="24"/>
          <w:szCs w:val="24"/>
        </w:rPr>
      </w:pPr>
      <w:r w:rsidRPr="003012E4">
        <w:rPr>
          <w:rFonts w:ascii="Arial" w:hAnsi="Arial" w:cs="Arial"/>
          <w:b/>
          <w:bCs/>
          <w:sz w:val="24"/>
          <w:szCs w:val="24"/>
        </w:rPr>
        <w:t>II)</w:t>
      </w:r>
      <w:r w:rsidRPr="003012E4">
        <w:rPr>
          <w:rFonts w:ascii="Arial" w:hAnsi="Arial" w:cs="Arial"/>
          <w:sz w:val="24"/>
          <w:szCs w:val="24"/>
        </w:rPr>
        <w:t xml:space="preserve"> Otro dato, no menor, es que el contador de PLUNA EA, compilador de los Estados Contables al 31 de Diciembre del 2012, era a su vez Cr. Delegado del Tribunal de cuentas.</w:t>
      </w:r>
    </w:p>
    <w:p w:rsidR="003012E4" w:rsidRPr="003012E4" w:rsidRDefault="003012E4" w:rsidP="003012E4">
      <w:pPr>
        <w:spacing w:after="0" w:line="360" w:lineRule="auto"/>
        <w:jc w:val="both"/>
        <w:rPr>
          <w:rFonts w:ascii="Arial" w:hAnsi="Arial" w:cs="Arial"/>
          <w:sz w:val="24"/>
          <w:szCs w:val="24"/>
        </w:rPr>
      </w:pPr>
      <w:r w:rsidRPr="003012E4">
        <w:rPr>
          <w:rFonts w:ascii="Arial" w:hAnsi="Arial" w:cs="Arial"/>
          <w:sz w:val="24"/>
          <w:szCs w:val="24"/>
        </w:rPr>
        <w:t>Su omisión y errores profesionales llevaron a que el Tribunal de Cuentas lo relevara de su condición de CONTADOR DELEGADO y PLUNA  EA lo cesara en sus funciones.</w:t>
      </w:r>
    </w:p>
    <w:p w:rsidR="003012E4" w:rsidRPr="003012E4" w:rsidRDefault="003012E4" w:rsidP="003012E4">
      <w:pPr>
        <w:spacing w:after="0" w:line="360" w:lineRule="auto"/>
        <w:jc w:val="both"/>
        <w:rPr>
          <w:rFonts w:ascii="Arial" w:hAnsi="Arial" w:cs="Arial"/>
          <w:sz w:val="24"/>
          <w:szCs w:val="24"/>
        </w:rPr>
      </w:pPr>
      <w:r w:rsidRPr="00E5007B">
        <w:rPr>
          <w:rFonts w:ascii="Arial" w:hAnsi="Arial" w:cs="Arial"/>
          <w:b/>
          <w:sz w:val="24"/>
          <w:szCs w:val="24"/>
        </w:rPr>
        <w:t>III)</w:t>
      </w:r>
      <w:r w:rsidRPr="003012E4">
        <w:rPr>
          <w:rFonts w:ascii="Arial" w:hAnsi="Arial" w:cs="Arial"/>
          <w:sz w:val="24"/>
          <w:szCs w:val="24"/>
        </w:rPr>
        <w:t xml:space="preserve"> La solicitud de Reconsideración conllevaba un reconocimiento de las inexactitudes cometidos en la presentación del Balance a Diciembre del 2012, solicitando aceptar la Revelación Mediante Notas de la situación.</w:t>
      </w:r>
    </w:p>
    <w:p w:rsidR="003012E4" w:rsidRPr="003012E4" w:rsidRDefault="003012E4" w:rsidP="003012E4">
      <w:pPr>
        <w:spacing w:after="0" w:line="360" w:lineRule="auto"/>
        <w:jc w:val="both"/>
        <w:rPr>
          <w:rFonts w:ascii="Arial" w:hAnsi="Arial" w:cs="Arial"/>
          <w:sz w:val="24"/>
          <w:szCs w:val="24"/>
        </w:rPr>
      </w:pPr>
      <w:r w:rsidRPr="00E5007B">
        <w:rPr>
          <w:rFonts w:ascii="Arial" w:hAnsi="Arial" w:cs="Arial"/>
          <w:b/>
          <w:sz w:val="24"/>
          <w:szCs w:val="24"/>
        </w:rPr>
        <w:t>IV)</w:t>
      </w:r>
      <w:r w:rsidRPr="003012E4">
        <w:rPr>
          <w:rFonts w:ascii="Arial" w:hAnsi="Arial" w:cs="Arial"/>
          <w:sz w:val="24"/>
          <w:szCs w:val="24"/>
        </w:rPr>
        <w:t xml:space="preserve"> Mientras se analiza este Balance ya entraron al Tribunal los Estados Contables al 31 de Diciembre del 2013, donde queda claramente aceptado por </w:t>
      </w:r>
      <w:proofErr w:type="spellStart"/>
      <w:r w:rsidRPr="003012E4">
        <w:rPr>
          <w:rFonts w:ascii="Arial" w:hAnsi="Arial" w:cs="Arial"/>
          <w:sz w:val="24"/>
          <w:szCs w:val="24"/>
        </w:rPr>
        <w:t>Pluna</w:t>
      </w:r>
      <w:proofErr w:type="spellEnd"/>
      <w:r w:rsidRPr="003012E4">
        <w:rPr>
          <w:rFonts w:ascii="Arial" w:hAnsi="Arial" w:cs="Arial"/>
          <w:sz w:val="24"/>
          <w:szCs w:val="24"/>
        </w:rPr>
        <w:t xml:space="preserve"> EA la situación, mediante NOTAS.</w:t>
      </w:r>
    </w:p>
    <w:p w:rsidR="003012E4" w:rsidRPr="003012E4" w:rsidRDefault="003012E4" w:rsidP="003012E4">
      <w:pPr>
        <w:spacing w:after="0" w:line="360" w:lineRule="auto"/>
        <w:jc w:val="both"/>
        <w:rPr>
          <w:rFonts w:ascii="Arial" w:hAnsi="Arial" w:cs="Arial"/>
          <w:sz w:val="24"/>
          <w:szCs w:val="24"/>
        </w:rPr>
      </w:pPr>
      <w:r w:rsidRPr="003012E4">
        <w:rPr>
          <w:rFonts w:ascii="Arial" w:hAnsi="Arial" w:cs="Arial"/>
          <w:sz w:val="24"/>
          <w:szCs w:val="24"/>
        </w:rPr>
        <w:t xml:space="preserve">Creo que </w:t>
      </w:r>
      <w:proofErr w:type="spellStart"/>
      <w:r w:rsidRPr="003012E4">
        <w:rPr>
          <w:rFonts w:ascii="Arial" w:hAnsi="Arial" w:cs="Arial"/>
          <w:sz w:val="24"/>
          <w:szCs w:val="24"/>
        </w:rPr>
        <w:t>serìa</w:t>
      </w:r>
      <w:proofErr w:type="spellEnd"/>
      <w:r w:rsidRPr="003012E4">
        <w:rPr>
          <w:rFonts w:ascii="Arial" w:hAnsi="Arial" w:cs="Arial"/>
          <w:sz w:val="24"/>
          <w:szCs w:val="24"/>
        </w:rPr>
        <w:t xml:space="preserve"> razonable aceptar la RECONSIDERACIÓN, reconociendo la revelación mediante Notas al Dictamen del 10 de Julio del 2013 y no emitir un DICTAMEN  ADVERSO.</w:t>
      </w:r>
    </w:p>
    <w:p w:rsidR="003012E4" w:rsidRDefault="003012E4" w:rsidP="003012E4">
      <w:pPr>
        <w:spacing w:after="0" w:line="360" w:lineRule="auto"/>
      </w:pPr>
    </w:p>
    <w:p w:rsidR="007F5870" w:rsidRDefault="007F5870" w:rsidP="003012E4">
      <w:pPr>
        <w:spacing w:after="0" w:line="360" w:lineRule="auto"/>
        <w:jc w:val="both"/>
        <w:rPr>
          <w:rFonts w:ascii="Arial" w:hAnsi="Arial" w:cs="Arial"/>
          <w:szCs w:val="24"/>
        </w:rPr>
      </w:pPr>
    </w:p>
    <w:p w:rsidR="00E5007B" w:rsidRDefault="00E5007B" w:rsidP="003012E4">
      <w:pPr>
        <w:spacing w:after="0" w:line="360" w:lineRule="auto"/>
        <w:jc w:val="both"/>
        <w:rPr>
          <w:rFonts w:ascii="Arial" w:hAnsi="Arial" w:cs="Arial"/>
          <w:szCs w:val="24"/>
        </w:rPr>
      </w:pPr>
    </w:p>
    <w:p w:rsidR="00AC029D" w:rsidRPr="002264A1" w:rsidRDefault="007F5870" w:rsidP="00890218">
      <w:pPr>
        <w:pStyle w:val="Ttulo1"/>
        <w:spacing w:line="360" w:lineRule="auto"/>
        <w:jc w:val="both"/>
        <w:rPr>
          <w:rFonts w:ascii="Arial" w:hAnsi="Arial" w:cs="Arial"/>
          <w:b w:val="0"/>
          <w:u w:val="none"/>
        </w:rPr>
      </w:pPr>
      <w:r w:rsidRPr="002264A1">
        <w:rPr>
          <w:rFonts w:ascii="Arial" w:hAnsi="Arial" w:cs="Arial"/>
          <w:u w:val="none"/>
        </w:rPr>
        <w:t xml:space="preserve">CONSTANCIA DE FUNDAMENTO DE VOTO DISCORDE DEL MINISTRO                  DR. OSCAR GRECCO: </w:t>
      </w:r>
      <w:r w:rsidR="00F032CE" w:rsidRPr="002264A1">
        <w:rPr>
          <w:rFonts w:ascii="Arial" w:hAnsi="Arial" w:cs="Arial"/>
          <w:u w:val="none"/>
        </w:rPr>
        <w:t>“</w:t>
      </w:r>
      <w:r w:rsidR="00AC029D" w:rsidRPr="002264A1">
        <w:rPr>
          <w:rFonts w:ascii="Arial" w:hAnsi="Arial" w:cs="Arial"/>
          <w:b w:val="0"/>
          <w:u w:val="none"/>
        </w:rPr>
        <w:t>El Tribunal de Cuentas se expidió sobre e</w:t>
      </w:r>
      <w:r w:rsidR="00890218">
        <w:rPr>
          <w:rFonts w:ascii="Arial" w:hAnsi="Arial" w:cs="Arial"/>
          <w:b w:val="0"/>
          <w:u w:val="none"/>
        </w:rPr>
        <w:t>l pedido de PLUNA ENTE AUTONOMO</w:t>
      </w:r>
      <w:r w:rsidR="00AC029D" w:rsidRPr="002264A1">
        <w:rPr>
          <w:rFonts w:ascii="Arial" w:hAnsi="Arial" w:cs="Arial"/>
          <w:b w:val="0"/>
          <w:u w:val="none"/>
        </w:rPr>
        <w:t xml:space="preserve">, de reconsideración del Dictamen emitido el 10/07/13 sobre sus Estados Contables al 31/12/2012. </w:t>
      </w:r>
    </w:p>
    <w:p w:rsidR="00AC029D" w:rsidRPr="002264A1" w:rsidRDefault="00AC029D" w:rsidP="00890218">
      <w:pPr>
        <w:spacing w:after="0" w:line="360" w:lineRule="auto"/>
        <w:jc w:val="both"/>
        <w:rPr>
          <w:rFonts w:ascii="Arial" w:hAnsi="Arial" w:cs="Arial"/>
          <w:sz w:val="24"/>
          <w:szCs w:val="24"/>
        </w:rPr>
      </w:pPr>
      <w:r w:rsidRPr="002264A1">
        <w:rPr>
          <w:rFonts w:ascii="Arial" w:hAnsi="Arial" w:cs="Arial"/>
          <w:sz w:val="24"/>
          <w:szCs w:val="24"/>
        </w:rPr>
        <w:t xml:space="preserve">He votado en forma discorde la  Resolución recaída en el expediente, en tanto no comparto que deba mantenerse en todos sus términos el referido dictamen, y en particular en lo que considero que es la causa principal del dictamen adverso: la no realización de una provisión por su participación en PLUNA S.A. “por considerar que era mayor la probabilidad de existencia de la obligación, a la fecha de formulación de los Estados que su inexistencia”. </w:t>
      </w:r>
    </w:p>
    <w:p w:rsidR="00AC029D" w:rsidRPr="002264A1" w:rsidRDefault="00AC029D" w:rsidP="00890218">
      <w:pPr>
        <w:spacing w:after="0" w:line="360" w:lineRule="auto"/>
        <w:jc w:val="both"/>
        <w:rPr>
          <w:rFonts w:ascii="Arial" w:hAnsi="Arial" w:cs="Arial"/>
          <w:sz w:val="24"/>
          <w:szCs w:val="24"/>
        </w:rPr>
      </w:pPr>
      <w:r w:rsidRPr="002264A1">
        <w:rPr>
          <w:rFonts w:ascii="Arial" w:hAnsi="Arial" w:cs="Arial"/>
          <w:sz w:val="24"/>
          <w:szCs w:val="24"/>
        </w:rPr>
        <w:t xml:space="preserve">Considero que en la valoración que se realiza para concluir que la probabilidad de ocurrencia era muy alta, inciden hechos posteriores a la fecha de cierre de los Estados, que precisamente por esa razón cronológica no debieron considerarse. </w:t>
      </w:r>
    </w:p>
    <w:p w:rsidR="00AC029D" w:rsidRPr="002264A1" w:rsidRDefault="00AC029D" w:rsidP="00890218">
      <w:pPr>
        <w:spacing w:after="0" w:line="360" w:lineRule="auto"/>
        <w:jc w:val="both"/>
        <w:rPr>
          <w:rFonts w:ascii="Arial" w:hAnsi="Arial" w:cs="Arial"/>
          <w:sz w:val="24"/>
          <w:szCs w:val="24"/>
        </w:rPr>
      </w:pPr>
      <w:r w:rsidRPr="002264A1">
        <w:rPr>
          <w:rFonts w:ascii="Arial" w:hAnsi="Arial" w:cs="Arial"/>
          <w:sz w:val="24"/>
          <w:szCs w:val="24"/>
        </w:rPr>
        <w:t xml:space="preserve">Es muy claro, a mi entender, que hubiese correspondido revelar todas las situaciones de ocurrencia </w:t>
      </w:r>
      <w:proofErr w:type="spellStart"/>
      <w:r w:rsidRPr="002264A1">
        <w:rPr>
          <w:rFonts w:ascii="Arial" w:hAnsi="Arial" w:cs="Arial"/>
          <w:sz w:val="24"/>
          <w:szCs w:val="24"/>
        </w:rPr>
        <w:t>mas</w:t>
      </w:r>
      <w:proofErr w:type="spellEnd"/>
      <w:r w:rsidRPr="002264A1">
        <w:rPr>
          <w:rFonts w:ascii="Arial" w:hAnsi="Arial" w:cs="Arial"/>
          <w:sz w:val="24"/>
          <w:szCs w:val="24"/>
        </w:rPr>
        <w:t xml:space="preserve"> o menos probable, mediante Notas a los Estados, y en esto coincidimos con la opinión de la consultora </w:t>
      </w:r>
      <w:proofErr w:type="spellStart"/>
      <w:r w:rsidRPr="002264A1">
        <w:rPr>
          <w:rFonts w:ascii="Arial" w:hAnsi="Arial" w:cs="Arial"/>
          <w:sz w:val="24"/>
          <w:szCs w:val="24"/>
        </w:rPr>
        <w:t>Deloitte</w:t>
      </w:r>
      <w:proofErr w:type="spellEnd"/>
      <w:r w:rsidRPr="002264A1">
        <w:rPr>
          <w:rFonts w:ascii="Arial" w:hAnsi="Arial" w:cs="Arial"/>
          <w:sz w:val="24"/>
          <w:szCs w:val="24"/>
        </w:rPr>
        <w:t xml:space="preserve">  cuando fuera consultada específicamente sobre el punto. </w:t>
      </w:r>
    </w:p>
    <w:p w:rsidR="00AC029D" w:rsidRPr="002264A1" w:rsidRDefault="00AC029D" w:rsidP="00890218">
      <w:pPr>
        <w:spacing w:after="0" w:line="360" w:lineRule="auto"/>
        <w:jc w:val="both"/>
        <w:rPr>
          <w:rFonts w:ascii="Arial" w:hAnsi="Arial" w:cs="Arial"/>
          <w:sz w:val="24"/>
          <w:szCs w:val="24"/>
        </w:rPr>
      </w:pPr>
      <w:r w:rsidRPr="002264A1">
        <w:rPr>
          <w:rFonts w:ascii="Arial" w:hAnsi="Arial" w:cs="Arial"/>
          <w:sz w:val="24"/>
          <w:szCs w:val="24"/>
        </w:rPr>
        <w:t xml:space="preserve">Discrepamos con la afirmación que realiza el Tribunal en el Considerando 4, cuando expresa que “la afirmación de la empresa </w:t>
      </w:r>
    </w:p>
    <w:p w:rsidR="00AC029D" w:rsidRPr="002264A1" w:rsidRDefault="00AC029D" w:rsidP="00890218">
      <w:pPr>
        <w:spacing w:after="0" w:line="360" w:lineRule="auto"/>
        <w:jc w:val="both"/>
        <w:rPr>
          <w:rFonts w:ascii="Arial" w:hAnsi="Arial" w:cs="Arial"/>
          <w:sz w:val="24"/>
          <w:szCs w:val="24"/>
        </w:rPr>
      </w:pPr>
      <w:proofErr w:type="spellStart"/>
      <w:r w:rsidRPr="002264A1">
        <w:rPr>
          <w:rFonts w:ascii="Arial" w:hAnsi="Arial" w:cs="Arial"/>
          <w:sz w:val="24"/>
          <w:szCs w:val="24"/>
        </w:rPr>
        <w:t>Deloitte</w:t>
      </w:r>
      <w:proofErr w:type="spellEnd"/>
      <w:r w:rsidRPr="002264A1">
        <w:rPr>
          <w:rFonts w:ascii="Arial" w:hAnsi="Arial" w:cs="Arial"/>
          <w:sz w:val="24"/>
          <w:szCs w:val="24"/>
        </w:rPr>
        <w:t xml:space="preserve"> no es concluyente en tanto señala que la situación podría revelarse mediante notas” </w:t>
      </w:r>
    </w:p>
    <w:p w:rsidR="00AC029D" w:rsidRPr="002264A1" w:rsidRDefault="00AC029D" w:rsidP="00890218">
      <w:pPr>
        <w:spacing w:after="0" w:line="360" w:lineRule="auto"/>
        <w:jc w:val="both"/>
        <w:rPr>
          <w:rFonts w:ascii="Arial" w:hAnsi="Arial" w:cs="Arial"/>
          <w:sz w:val="24"/>
          <w:szCs w:val="24"/>
        </w:rPr>
      </w:pPr>
      <w:proofErr w:type="spellStart"/>
      <w:r w:rsidRPr="002264A1">
        <w:rPr>
          <w:rFonts w:ascii="Arial" w:hAnsi="Arial" w:cs="Arial"/>
          <w:sz w:val="24"/>
          <w:szCs w:val="24"/>
        </w:rPr>
        <w:t>Creeemos</w:t>
      </w:r>
      <w:proofErr w:type="spellEnd"/>
      <w:r w:rsidRPr="002264A1">
        <w:rPr>
          <w:rFonts w:ascii="Arial" w:hAnsi="Arial" w:cs="Arial"/>
          <w:sz w:val="24"/>
          <w:szCs w:val="24"/>
        </w:rPr>
        <w:t xml:space="preserve"> que la afirmación ES </w:t>
      </w:r>
      <w:proofErr w:type="gramStart"/>
      <w:r w:rsidRPr="002264A1">
        <w:rPr>
          <w:rFonts w:ascii="Arial" w:hAnsi="Arial" w:cs="Arial"/>
          <w:sz w:val="24"/>
          <w:szCs w:val="24"/>
        </w:rPr>
        <w:t>CONCLUYENTE :</w:t>
      </w:r>
      <w:proofErr w:type="gramEnd"/>
      <w:r w:rsidRPr="002264A1">
        <w:rPr>
          <w:rFonts w:ascii="Arial" w:hAnsi="Arial" w:cs="Arial"/>
          <w:sz w:val="24"/>
          <w:szCs w:val="24"/>
        </w:rPr>
        <w:t xml:space="preserve"> </w:t>
      </w:r>
      <w:r w:rsidRPr="002264A1">
        <w:rPr>
          <w:rFonts w:ascii="Arial" w:hAnsi="Arial" w:cs="Arial"/>
          <w:b/>
          <w:sz w:val="24"/>
          <w:szCs w:val="24"/>
          <w:u w:val="single"/>
        </w:rPr>
        <w:t>Debió revelarse mediante Notas.</w:t>
      </w:r>
      <w:r w:rsidR="00E5007B">
        <w:rPr>
          <w:rFonts w:ascii="Arial" w:hAnsi="Arial" w:cs="Arial"/>
          <w:b/>
          <w:sz w:val="24"/>
          <w:szCs w:val="24"/>
          <w:u w:val="single"/>
        </w:rPr>
        <w:t xml:space="preserve"> </w:t>
      </w:r>
      <w:r w:rsidRPr="002264A1">
        <w:rPr>
          <w:rFonts w:ascii="Arial" w:hAnsi="Arial" w:cs="Arial"/>
          <w:sz w:val="24"/>
          <w:szCs w:val="24"/>
        </w:rPr>
        <w:t xml:space="preserve">Lo que también es concluyente, y así lo expresa, es que </w:t>
      </w:r>
      <w:r w:rsidRPr="002264A1">
        <w:rPr>
          <w:rFonts w:ascii="Arial" w:hAnsi="Arial" w:cs="Arial"/>
          <w:b/>
          <w:sz w:val="24"/>
          <w:szCs w:val="24"/>
        </w:rPr>
        <w:t>“</w:t>
      </w:r>
      <w:r w:rsidRPr="002264A1">
        <w:rPr>
          <w:rFonts w:ascii="Arial" w:hAnsi="Arial" w:cs="Arial"/>
          <w:b/>
          <w:sz w:val="24"/>
          <w:szCs w:val="24"/>
          <w:u w:val="single"/>
        </w:rPr>
        <w:t>no corresponde el reconocimiento de una provisión (pasivo)”</w:t>
      </w:r>
      <w:r w:rsidRPr="002264A1">
        <w:rPr>
          <w:rFonts w:ascii="Arial" w:hAnsi="Arial" w:cs="Arial"/>
          <w:b/>
          <w:sz w:val="24"/>
          <w:szCs w:val="24"/>
        </w:rPr>
        <w:t>,</w:t>
      </w:r>
      <w:r w:rsidRPr="002264A1">
        <w:rPr>
          <w:rFonts w:ascii="Arial" w:hAnsi="Arial" w:cs="Arial"/>
          <w:sz w:val="24"/>
          <w:szCs w:val="24"/>
        </w:rPr>
        <w:t xml:space="preserve"> y como es éste precisamente </w:t>
      </w:r>
      <w:r w:rsidRPr="002264A1">
        <w:rPr>
          <w:rFonts w:ascii="Arial" w:hAnsi="Arial" w:cs="Arial"/>
          <w:sz w:val="24"/>
          <w:szCs w:val="24"/>
          <w:u w:val="single"/>
        </w:rPr>
        <w:t>el punto concreto</w:t>
      </w:r>
      <w:r w:rsidRPr="002264A1">
        <w:rPr>
          <w:rFonts w:ascii="Arial" w:hAnsi="Arial" w:cs="Arial"/>
          <w:sz w:val="24"/>
          <w:szCs w:val="24"/>
        </w:rPr>
        <w:t xml:space="preserve"> que fundamenta el dictamen adverso, es que no comparto la Resolución. </w:t>
      </w:r>
    </w:p>
    <w:p w:rsidR="00AC029D" w:rsidRPr="002264A1" w:rsidRDefault="00AC029D" w:rsidP="00890218">
      <w:pPr>
        <w:spacing w:after="0" w:line="360" w:lineRule="auto"/>
        <w:jc w:val="both"/>
        <w:rPr>
          <w:rFonts w:ascii="Arial" w:hAnsi="Arial" w:cs="Arial"/>
          <w:sz w:val="24"/>
          <w:szCs w:val="24"/>
        </w:rPr>
      </w:pPr>
      <w:r w:rsidRPr="002264A1">
        <w:rPr>
          <w:rFonts w:ascii="Arial" w:hAnsi="Arial" w:cs="Arial"/>
          <w:sz w:val="24"/>
          <w:szCs w:val="24"/>
        </w:rPr>
        <w:t xml:space="preserve">La referencia que se hace en el Considerando 4, acerca de que “la situación  tampoco fue revelada mediante notas” abona la posición que sostengo, ya que si la revelación en Notas no fuera lo indicado, o fuera irrelevante, esa salvedad carecería de sentido. </w:t>
      </w:r>
    </w:p>
    <w:p w:rsidR="00890218" w:rsidRDefault="00AC029D" w:rsidP="00890218">
      <w:pPr>
        <w:spacing w:after="0" w:line="360" w:lineRule="auto"/>
        <w:jc w:val="both"/>
        <w:rPr>
          <w:rFonts w:ascii="Arial" w:hAnsi="Arial" w:cs="Arial"/>
          <w:sz w:val="24"/>
          <w:szCs w:val="24"/>
        </w:rPr>
      </w:pPr>
      <w:r w:rsidRPr="002264A1">
        <w:rPr>
          <w:rFonts w:ascii="Arial" w:hAnsi="Arial" w:cs="Arial"/>
          <w:sz w:val="24"/>
          <w:szCs w:val="24"/>
        </w:rPr>
        <w:t>Por lo expuesto, es que considero que el Dictamen adverso merecía una reconsideración, recon</w:t>
      </w:r>
      <w:r w:rsidR="002264A1">
        <w:rPr>
          <w:rFonts w:ascii="Arial" w:hAnsi="Arial" w:cs="Arial"/>
          <w:sz w:val="24"/>
          <w:szCs w:val="24"/>
        </w:rPr>
        <w:t>ociendo que no era la provisión</w:t>
      </w:r>
      <w:r w:rsidRPr="002264A1">
        <w:rPr>
          <w:rFonts w:ascii="Arial" w:hAnsi="Arial" w:cs="Arial"/>
          <w:sz w:val="24"/>
          <w:szCs w:val="24"/>
        </w:rPr>
        <w:t>, sino la revelación mediante notas, lo que hubiese correspondido.</w:t>
      </w:r>
      <w:r w:rsidR="00890218">
        <w:rPr>
          <w:rFonts w:ascii="Arial" w:hAnsi="Arial" w:cs="Arial"/>
          <w:sz w:val="24"/>
          <w:szCs w:val="24"/>
        </w:rPr>
        <w:t>”</w:t>
      </w:r>
    </w:p>
    <w:p w:rsidR="00890218" w:rsidRDefault="00890218" w:rsidP="00890218">
      <w:pPr>
        <w:spacing w:after="0" w:line="360" w:lineRule="auto"/>
        <w:jc w:val="both"/>
        <w:rPr>
          <w:rFonts w:ascii="Arial" w:hAnsi="Arial" w:cs="Arial"/>
          <w:sz w:val="24"/>
          <w:szCs w:val="24"/>
        </w:rPr>
      </w:pPr>
    </w:p>
    <w:p w:rsidR="00890218" w:rsidRDefault="00890218" w:rsidP="00890218">
      <w:pPr>
        <w:spacing w:after="0" w:line="360" w:lineRule="auto"/>
        <w:jc w:val="both"/>
        <w:rPr>
          <w:rFonts w:ascii="Arial" w:hAnsi="Arial" w:cs="Arial"/>
          <w:sz w:val="24"/>
          <w:szCs w:val="24"/>
        </w:rPr>
      </w:pPr>
    </w:p>
    <w:p w:rsidR="007F5870" w:rsidRPr="001B4535" w:rsidRDefault="00890218" w:rsidP="001B4535">
      <w:pPr>
        <w:spacing w:after="0"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sectPr w:rsidR="007F5870" w:rsidRPr="001B4535" w:rsidSect="00220B65">
      <w:footerReference w:type="default" r:id="rId8"/>
      <w:pgSz w:w="11906" w:h="16838"/>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2BA" w:rsidRDefault="006D02BA">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6D02BA" w:rsidRDefault="006D02BA">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BA" w:rsidRDefault="006D02BA">
    <w:pPr>
      <w:pStyle w:val="Piedepgina"/>
      <w:jc w:val="center"/>
    </w:pPr>
    <w:r>
      <w:fldChar w:fldCharType="begin"/>
    </w:r>
    <w:r>
      <w:instrText>PAGE   \* MERGEFORMAT</w:instrText>
    </w:r>
    <w:r>
      <w:fldChar w:fldCharType="separate"/>
    </w:r>
    <w:r w:rsidR="0060411C" w:rsidRPr="0060411C">
      <w:rPr>
        <w:noProof/>
        <w:lang w:val="es-ES"/>
      </w:rPr>
      <w:t>1</w:t>
    </w:r>
    <w:r>
      <w:fldChar w:fldCharType="end"/>
    </w:r>
  </w:p>
  <w:p w:rsidR="006D02BA" w:rsidRDefault="006D02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2BA" w:rsidRDefault="006D02BA">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6D02BA" w:rsidRDefault="006D02BA">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45B3"/>
    <w:multiLevelType w:val="multilevel"/>
    <w:tmpl w:val="57D061FA"/>
    <w:lvl w:ilvl="0">
      <w:start w:val="1"/>
      <w:numFmt w:val="decimal"/>
      <w:lvlText w:val="%1)"/>
      <w:lvlJc w:val="left"/>
      <w:pPr>
        <w:tabs>
          <w:tab w:val="num" w:pos="502"/>
        </w:tabs>
        <w:ind w:left="482" w:hanging="340"/>
      </w:pPr>
      <w:rPr>
        <w:rFonts w:ascii="Arial" w:hAnsi="Arial" w:cs="Arial" w:hint="default"/>
        <w:b/>
        <w:bCs/>
        <w:i w:val="0"/>
        <w:iCs w:val="0"/>
        <w:sz w:val="24"/>
        <w:szCs w:val="24"/>
      </w:rPr>
    </w:lvl>
    <w:lvl w:ilvl="1">
      <w:start w:val="1"/>
      <w:numFmt w:val="decimal"/>
      <w:isLgl/>
      <w:lvlText w:val="%1.%2."/>
      <w:lvlJc w:val="left"/>
      <w:pPr>
        <w:tabs>
          <w:tab w:val="num" w:pos="862"/>
        </w:tabs>
        <w:ind w:left="862" w:hanging="720"/>
      </w:pPr>
      <w:rPr>
        <w:rFonts w:ascii="Times New Roman" w:hAnsi="Times New Roman" w:cs="Times New Roman" w:hint="default"/>
      </w:rPr>
    </w:lvl>
    <w:lvl w:ilvl="2">
      <w:start w:val="1"/>
      <w:numFmt w:val="decimal"/>
      <w:isLgl/>
      <w:lvlText w:val="%1.%2.%3."/>
      <w:lvlJc w:val="left"/>
      <w:pPr>
        <w:tabs>
          <w:tab w:val="num" w:pos="862"/>
        </w:tabs>
        <w:ind w:left="862" w:hanging="720"/>
      </w:pPr>
      <w:rPr>
        <w:rFonts w:ascii="Times New Roman" w:hAnsi="Times New Roman" w:cs="Times New Roman" w:hint="default"/>
      </w:rPr>
    </w:lvl>
    <w:lvl w:ilvl="3">
      <w:start w:val="1"/>
      <w:numFmt w:val="decimal"/>
      <w:isLgl/>
      <w:lvlText w:val="%1.%2.%3.%4."/>
      <w:lvlJc w:val="left"/>
      <w:pPr>
        <w:tabs>
          <w:tab w:val="num" w:pos="1222"/>
        </w:tabs>
        <w:ind w:left="1222" w:hanging="1080"/>
      </w:pPr>
      <w:rPr>
        <w:rFonts w:ascii="Times New Roman" w:hAnsi="Times New Roman" w:cs="Times New Roman" w:hint="default"/>
      </w:rPr>
    </w:lvl>
    <w:lvl w:ilvl="4">
      <w:start w:val="1"/>
      <w:numFmt w:val="decimal"/>
      <w:isLgl/>
      <w:lvlText w:val="%1.%2.%3.%4.%5."/>
      <w:lvlJc w:val="left"/>
      <w:pPr>
        <w:tabs>
          <w:tab w:val="num" w:pos="1582"/>
        </w:tabs>
        <w:ind w:left="1582" w:hanging="1440"/>
      </w:pPr>
      <w:rPr>
        <w:rFonts w:ascii="Times New Roman" w:hAnsi="Times New Roman" w:cs="Times New Roman" w:hint="default"/>
      </w:rPr>
    </w:lvl>
    <w:lvl w:ilvl="5">
      <w:start w:val="1"/>
      <w:numFmt w:val="decimal"/>
      <w:isLgl/>
      <w:lvlText w:val="%1.%2.%3.%4.%5.%6."/>
      <w:lvlJc w:val="left"/>
      <w:pPr>
        <w:tabs>
          <w:tab w:val="num" w:pos="1582"/>
        </w:tabs>
        <w:ind w:left="1582" w:hanging="1440"/>
      </w:pPr>
      <w:rPr>
        <w:rFonts w:ascii="Times New Roman" w:hAnsi="Times New Roman" w:cs="Times New Roman" w:hint="default"/>
      </w:rPr>
    </w:lvl>
    <w:lvl w:ilvl="6">
      <w:start w:val="1"/>
      <w:numFmt w:val="decimal"/>
      <w:isLgl/>
      <w:lvlText w:val="%1.%2.%3.%4.%5.%6.%7."/>
      <w:lvlJc w:val="left"/>
      <w:pPr>
        <w:tabs>
          <w:tab w:val="num" w:pos="1942"/>
        </w:tabs>
        <w:ind w:left="1942" w:hanging="1800"/>
      </w:pPr>
      <w:rPr>
        <w:rFonts w:ascii="Times New Roman" w:hAnsi="Times New Roman" w:cs="Times New Roman" w:hint="default"/>
      </w:rPr>
    </w:lvl>
    <w:lvl w:ilvl="7">
      <w:start w:val="1"/>
      <w:numFmt w:val="decimal"/>
      <w:isLgl/>
      <w:lvlText w:val="%1.%2.%3.%4.%5.%6.%7.%8."/>
      <w:lvlJc w:val="left"/>
      <w:pPr>
        <w:tabs>
          <w:tab w:val="num" w:pos="1942"/>
        </w:tabs>
        <w:ind w:left="1942" w:hanging="1800"/>
      </w:pPr>
      <w:rPr>
        <w:rFonts w:ascii="Times New Roman" w:hAnsi="Times New Roman" w:cs="Times New Roman" w:hint="default"/>
      </w:rPr>
    </w:lvl>
    <w:lvl w:ilvl="8">
      <w:start w:val="1"/>
      <w:numFmt w:val="decimal"/>
      <w:isLgl/>
      <w:lvlText w:val="%1.%2.%3.%4.%5.%6.%7.%8.%9."/>
      <w:lvlJc w:val="left"/>
      <w:pPr>
        <w:tabs>
          <w:tab w:val="num" w:pos="2302"/>
        </w:tabs>
        <w:ind w:left="2302" w:hanging="2160"/>
      </w:pPr>
      <w:rPr>
        <w:rFonts w:ascii="Times New Roman" w:hAnsi="Times New Roman" w:cs="Times New Roman" w:hint="default"/>
      </w:rPr>
    </w:lvl>
  </w:abstractNum>
  <w:abstractNum w:abstractNumId="1">
    <w:nsid w:val="11D41CCD"/>
    <w:multiLevelType w:val="multilevel"/>
    <w:tmpl w:val="186E79FC"/>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1170" w:hanging="450"/>
      </w:pPr>
      <w:rPr>
        <w:rFonts w:ascii="Times New Roman" w:hAnsi="Times New Roman" w:cs="Times New Roman" w:hint="default"/>
        <w:color w:val="auto"/>
      </w:rPr>
    </w:lvl>
    <w:lvl w:ilvl="2">
      <w:start w:val="1"/>
      <w:numFmt w:val="decimal"/>
      <w:isLgl/>
      <w:lvlText w:val="%1.%2.%3"/>
      <w:lvlJc w:val="left"/>
      <w:pPr>
        <w:ind w:left="1800" w:hanging="720"/>
      </w:pPr>
      <w:rPr>
        <w:rFonts w:ascii="Times New Roman" w:hAnsi="Times New Roman" w:cs="Times New Roman" w:hint="default"/>
        <w:color w:val="auto"/>
      </w:rPr>
    </w:lvl>
    <w:lvl w:ilvl="3">
      <w:start w:val="1"/>
      <w:numFmt w:val="decimal"/>
      <w:isLgl/>
      <w:lvlText w:val="%1.%2.%3.%4"/>
      <w:lvlJc w:val="left"/>
      <w:pPr>
        <w:ind w:left="2520" w:hanging="1080"/>
      </w:pPr>
      <w:rPr>
        <w:rFonts w:ascii="Times New Roman" w:hAnsi="Times New Roman" w:cs="Times New Roman" w:hint="default"/>
        <w:color w:val="auto"/>
      </w:rPr>
    </w:lvl>
    <w:lvl w:ilvl="4">
      <w:start w:val="1"/>
      <w:numFmt w:val="decimal"/>
      <w:isLgl/>
      <w:lvlText w:val="%1.%2.%3.%4.%5"/>
      <w:lvlJc w:val="left"/>
      <w:pPr>
        <w:ind w:left="2880" w:hanging="1080"/>
      </w:pPr>
      <w:rPr>
        <w:rFonts w:ascii="Times New Roman" w:hAnsi="Times New Roman" w:cs="Times New Roman" w:hint="default"/>
        <w:color w:val="auto"/>
      </w:rPr>
    </w:lvl>
    <w:lvl w:ilvl="5">
      <w:start w:val="1"/>
      <w:numFmt w:val="decimal"/>
      <w:isLgl/>
      <w:lvlText w:val="%1.%2.%3.%4.%5.%6"/>
      <w:lvlJc w:val="left"/>
      <w:pPr>
        <w:ind w:left="3600" w:hanging="1440"/>
      </w:pPr>
      <w:rPr>
        <w:rFonts w:ascii="Times New Roman" w:hAnsi="Times New Roman" w:cs="Times New Roman" w:hint="default"/>
        <w:color w:val="auto"/>
      </w:rPr>
    </w:lvl>
    <w:lvl w:ilvl="6">
      <w:start w:val="1"/>
      <w:numFmt w:val="decimal"/>
      <w:isLgl/>
      <w:lvlText w:val="%1.%2.%3.%4.%5.%6.%7"/>
      <w:lvlJc w:val="left"/>
      <w:pPr>
        <w:ind w:left="3960" w:hanging="1440"/>
      </w:pPr>
      <w:rPr>
        <w:rFonts w:ascii="Times New Roman" w:hAnsi="Times New Roman" w:cs="Times New Roman" w:hint="default"/>
        <w:color w:val="auto"/>
      </w:rPr>
    </w:lvl>
    <w:lvl w:ilvl="7">
      <w:start w:val="1"/>
      <w:numFmt w:val="decimal"/>
      <w:isLgl/>
      <w:lvlText w:val="%1.%2.%3.%4.%5.%6.%7.%8"/>
      <w:lvlJc w:val="left"/>
      <w:pPr>
        <w:ind w:left="4680" w:hanging="1800"/>
      </w:pPr>
      <w:rPr>
        <w:rFonts w:ascii="Times New Roman" w:hAnsi="Times New Roman" w:cs="Times New Roman" w:hint="default"/>
        <w:color w:val="auto"/>
      </w:rPr>
    </w:lvl>
    <w:lvl w:ilvl="8">
      <w:start w:val="1"/>
      <w:numFmt w:val="decimal"/>
      <w:isLgl/>
      <w:lvlText w:val="%1.%2.%3.%4.%5.%6.%7.%8.%9"/>
      <w:lvlJc w:val="left"/>
      <w:pPr>
        <w:ind w:left="5040" w:hanging="1800"/>
      </w:pPr>
      <w:rPr>
        <w:rFonts w:ascii="Times New Roman" w:hAnsi="Times New Roman" w:cs="Times New Roman" w:hint="default"/>
        <w:color w:val="auto"/>
      </w:rPr>
    </w:lvl>
  </w:abstractNum>
  <w:abstractNum w:abstractNumId="2">
    <w:nsid w:val="13085764"/>
    <w:multiLevelType w:val="hybridMultilevel"/>
    <w:tmpl w:val="52F854BC"/>
    <w:lvl w:ilvl="0" w:tplc="5F2A4AA0">
      <w:numFmt w:val="bullet"/>
      <w:lvlText w:val="-"/>
      <w:lvlJc w:val="left"/>
      <w:pPr>
        <w:ind w:left="1528" w:hanging="360"/>
      </w:pPr>
      <w:rPr>
        <w:rFonts w:ascii="Arial" w:eastAsia="Times New Roman" w:hAnsi="Arial" w:hint="default"/>
      </w:rPr>
    </w:lvl>
    <w:lvl w:ilvl="1" w:tplc="0C0A0003">
      <w:start w:val="1"/>
      <w:numFmt w:val="bullet"/>
      <w:lvlText w:val="o"/>
      <w:lvlJc w:val="left"/>
      <w:pPr>
        <w:ind w:left="2248" w:hanging="360"/>
      </w:pPr>
      <w:rPr>
        <w:rFonts w:ascii="Courier New" w:hAnsi="Courier New" w:cs="Courier New" w:hint="default"/>
      </w:rPr>
    </w:lvl>
    <w:lvl w:ilvl="2" w:tplc="0C0A0005">
      <w:start w:val="1"/>
      <w:numFmt w:val="bullet"/>
      <w:lvlText w:val=""/>
      <w:lvlJc w:val="left"/>
      <w:pPr>
        <w:ind w:left="2968" w:hanging="360"/>
      </w:pPr>
      <w:rPr>
        <w:rFonts w:ascii="Wingdings" w:hAnsi="Wingdings" w:cs="Wingdings" w:hint="default"/>
      </w:rPr>
    </w:lvl>
    <w:lvl w:ilvl="3" w:tplc="0C0A0001">
      <w:start w:val="1"/>
      <w:numFmt w:val="bullet"/>
      <w:lvlText w:val=""/>
      <w:lvlJc w:val="left"/>
      <w:pPr>
        <w:ind w:left="3688" w:hanging="360"/>
      </w:pPr>
      <w:rPr>
        <w:rFonts w:ascii="Symbol" w:hAnsi="Symbol" w:cs="Symbol" w:hint="default"/>
      </w:rPr>
    </w:lvl>
    <w:lvl w:ilvl="4" w:tplc="0C0A0003">
      <w:start w:val="1"/>
      <w:numFmt w:val="bullet"/>
      <w:lvlText w:val="o"/>
      <w:lvlJc w:val="left"/>
      <w:pPr>
        <w:ind w:left="4408" w:hanging="360"/>
      </w:pPr>
      <w:rPr>
        <w:rFonts w:ascii="Courier New" w:hAnsi="Courier New" w:cs="Courier New" w:hint="default"/>
      </w:rPr>
    </w:lvl>
    <w:lvl w:ilvl="5" w:tplc="0C0A0005">
      <w:start w:val="1"/>
      <w:numFmt w:val="bullet"/>
      <w:lvlText w:val=""/>
      <w:lvlJc w:val="left"/>
      <w:pPr>
        <w:ind w:left="5128" w:hanging="360"/>
      </w:pPr>
      <w:rPr>
        <w:rFonts w:ascii="Wingdings" w:hAnsi="Wingdings" w:cs="Wingdings" w:hint="default"/>
      </w:rPr>
    </w:lvl>
    <w:lvl w:ilvl="6" w:tplc="0C0A0001">
      <w:start w:val="1"/>
      <w:numFmt w:val="bullet"/>
      <w:lvlText w:val=""/>
      <w:lvlJc w:val="left"/>
      <w:pPr>
        <w:ind w:left="5848" w:hanging="360"/>
      </w:pPr>
      <w:rPr>
        <w:rFonts w:ascii="Symbol" w:hAnsi="Symbol" w:cs="Symbol" w:hint="default"/>
      </w:rPr>
    </w:lvl>
    <w:lvl w:ilvl="7" w:tplc="0C0A0003">
      <w:start w:val="1"/>
      <w:numFmt w:val="bullet"/>
      <w:lvlText w:val="o"/>
      <w:lvlJc w:val="left"/>
      <w:pPr>
        <w:ind w:left="6568" w:hanging="360"/>
      </w:pPr>
      <w:rPr>
        <w:rFonts w:ascii="Courier New" w:hAnsi="Courier New" w:cs="Courier New" w:hint="default"/>
      </w:rPr>
    </w:lvl>
    <w:lvl w:ilvl="8" w:tplc="0C0A0005">
      <w:start w:val="1"/>
      <w:numFmt w:val="bullet"/>
      <w:lvlText w:val=""/>
      <w:lvlJc w:val="left"/>
      <w:pPr>
        <w:ind w:left="7288" w:hanging="360"/>
      </w:pPr>
      <w:rPr>
        <w:rFonts w:ascii="Wingdings" w:hAnsi="Wingdings" w:cs="Wingdings" w:hint="default"/>
      </w:rPr>
    </w:lvl>
  </w:abstractNum>
  <w:abstractNum w:abstractNumId="3">
    <w:nsid w:val="71727044"/>
    <w:multiLevelType w:val="hybridMultilevel"/>
    <w:tmpl w:val="4FEC88D4"/>
    <w:lvl w:ilvl="0" w:tplc="8F901426">
      <w:start w:val="1"/>
      <w:numFmt w:val="decimal"/>
      <w:lvlText w:val="%1)"/>
      <w:lvlJc w:val="left"/>
      <w:pPr>
        <w:ind w:left="720" w:hanging="360"/>
      </w:pPr>
      <w:rPr>
        <w:rFonts w:ascii="Arial" w:eastAsia="Times New Roman" w:hAnsi="Arial"/>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4">
    <w:nsid w:val="75FC24B1"/>
    <w:multiLevelType w:val="hybridMultilevel"/>
    <w:tmpl w:val="459AA4AC"/>
    <w:lvl w:ilvl="0" w:tplc="000E9818">
      <w:start w:val="1"/>
      <w:numFmt w:val="decimal"/>
      <w:lvlText w:val="%1)"/>
      <w:lvlJc w:val="left"/>
      <w:pPr>
        <w:ind w:left="1494" w:hanging="360"/>
      </w:pPr>
      <w:rPr>
        <w:rFonts w:ascii="Times New Roman" w:hAnsi="Times New Roman" w:cs="Times New Roman" w:hint="default"/>
        <w:i w:val="0"/>
        <w:iCs w:val="0"/>
      </w:rPr>
    </w:lvl>
    <w:lvl w:ilvl="1" w:tplc="380A0019">
      <w:start w:val="1"/>
      <w:numFmt w:val="lowerLetter"/>
      <w:lvlText w:val="%2."/>
      <w:lvlJc w:val="left"/>
      <w:pPr>
        <w:ind w:left="2214" w:hanging="360"/>
      </w:pPr>
      <w:rPr>
        <w:rFonts w:ascii="Times New Roman" w:hAnsi="Times New Roman" w:cs="Times New Roman"/>
      </w:rPr>
    </w:lvl>
    <w:lvl w:ilvl="2" w:tplc="380A001B">
      <w:start w:val="1"/>
      <w:numFmt w:val="lowerRoman"/>
      <w:lvlText w:val="%3."/>
      <w:lvlJc w:val="right"/>
      <w:pPr>
        <w:ind w:left="2934" w:hanging="180"/>
      </w:pPr>
      <w:rPr>
        <w:rFonts w:ascii="Times New Roman" w:hAnsi="Times New Roman" w:cs="Times New Roman"/>
      </w:rPr>
    </w:lvl>
    <w:lvl w:ilvl="3" w:tplc="380A000F">
      <w:start w:val="1"/>
      <w:numFmt w:val="decimal"/>
      <w:lvlText w:val="%4."/>
      <w:lvlJc w:val="left"/>
      <w:pPr>
        <w:ind w:left="3654" w:hanging="360"/>
      </w:pPr>
      <w:rPr>
        <w:rFonts w:ascii="Times New Roman" w:hAnsi="Times New Roman" w:cs="Times New Roman"/>
      </w:rPr>
    </w:lvl>
    <w:lvl w:ilvl="4" w:tplc="380A0019">
      <w:start w:val="1"/>
      <w:numFmt w:val="lowerLetter"/>
      <w:lvlText w:val="%5."/>
      <w:lvlJc w:val="left"/>
      <w:pPr>
        <w:ind w:left="4374" w:hanging="360"/>
      </w:pPr>
      <w:rPr>
        <w:rFonts w:ascii="Times New Roman" w:hAnsi="Times New Roman" w:cs="Times New Roman"/>
      </w:rPr>
    </w:lvl>
    <w:lvl w:ilvl="5" w:tplc="380A001B">
      <w:start w:val="1"/>
      <w:numFmt w:val="lowerRoman"/>
      <w:lvlText w:val="%6."/>
      <w:lvlJc w:val="right"/>
      <w:pPr>
        <w:ind w:left="5094" w:hanging="180"/>
      </w:pPr>
      <w:rPr>
        <w:rFonts w:ascii="Times New Roman" w:hAnsi="Times New Roman" w:cs="Times New Roman"/>
      </w:rPr>
    </w:lvl>
    <w:lvl w:ilvl="6" w:tplc="380A000F">
      <w:start w:val="1"/>
      <w:numFmt w:val="decimal"/>
      <w:lvlText w:val="%7."/>
      <w:lvlJc w:val="left"/>
      <w:pPr>
        <w:ind w:left="5814" w:hanging="360"/>
      </w:pPr>
      <w:rPr>
        <w:rFonts w:ascii="Times New Roman" w:hAnsi="Times New Roman" w:cs="Times New Roman"/>
      </w:rPr>
    </w:lvl>
    <w:lvl w:ilvl="7" w:tplc="380A0019">
      <w:start w:val="1"/>
      <w:numFmt w:val="lowerLetter"/>
      <w:lvlText w:val="%8."/>
      <w:lvlJc w:val="left"/>
      <w:pPr>
        <w:ind w:left="6534" w:hanging="360"/>
      </w:pPr>
      <w:rPr>
        <w:rFonts w:ascii="Times New Roman" w:hAnsi="Times New Roman" w:cs="Times New Roman"/>
      </w:rPr>
    </w:lvl>
    <w:lvl w:ilvl="8" w:tplc="380A001B">
      <w:start w:val="1"/>
      <w:numFmt w:val="lowerRoman"/>
      <w:lvlText w:val="%9."/>
      <w:lvlJc w:val="right"/>
      <w:pPr>
        <w:ind w:left="7254" w:hanging="180"/>
      </w:pPr>
      <w:rPr>
        <w:rFonts w:ascii="Times New Roman" w:hAnsi="Times New Roman" w:cs="Times New Roman"/>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567"/>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736"/>
    <w:rsid w:val="00043486"/>
    <w:rsid w:val="00091FF6"/>
    <w:rsid w:val="000E1221"/>
    <w:rsid w:val="001A2AF0"/>
    <w:rsid w:val="001B4535"/>
    <w:rsid w:val="00220B65"/>
    <w:rsid w:val="002264A1"/>
    <w:rsid w:val="002F47A6"/>
    <w:rsid w:val="003012E4"/>
    <w:rsid w:val="003A2224"/>
    <w:rsid w:val="004439A2"/>
    <w:rsid w:val="0060411C"/>
    <w:rsid w:val="006D02BA"/>
    <w:rsid w:val="007F5870"/>
    <w:rsid w:val="00890218"/>
    <w:rsid w:val="009A6736"/>
    <w:rsid w:val="00AC029D"/>
    <w:rsid w:val="00B747C6"/>
    <w:rsid w:val="00E5007B"/>
    <w:rsid w:val="00F032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sz w:val="22"/>
      <w:szCs w:val="22"/>
      <w:lang w:eastAsia="en-US"/>
    </w:rPr>
  </w:style>
  <w:style w:type="paragraph" w:styleId="Ttulo1">
    <w:name w:val="heading 1"/>
    <w:basedOn w:val="Normal"/>
    <w:next w:val="Normal"/>
    <w:link w:val="Ttulo1Car"/>
    <w:qFormat/>
    <w:rsid w:val="00AC029D"/>
    <w:pPr>
      <w:keepNext/>
      <w:spacing w:after="0" w:line="240" w:lineRule="auto"/>
      <w:outlineLvl w:val="0"/>
    </w:pPr>
    <w:rPr>
      <w:rFonts w:ascii="Times New Roman" w:hAnsi="Times New Roman" w:cs="Times New Roman"/>
      <w:b/>
      <w:bCs/>
      <w:sz w:val="24"/>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link w:val="Textodeglobo"/>
    <w:uiPriority w:val="99"/>
    <w:rPr>
      <w:rFonts w:ascii="Tahoma" w:hAnsi="Tahoma" w:cs="Tahoma"/>
      <w:sz w:val="16"/>
      <w:szCs w:val="16"/>
    </w:r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link w:val="Encabezado"/>
    <w:uiPriority w:val="99"/>
    <w:rPr>
      <w:rFonts w:ascii="Times New Roman" w:hAnsi="Times New Roman" w:cs="Times New Roman"/>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link w:val="Piedepgina"/>
    <w:uiPriority w:val="99"/>
    <w:rPr>
      <w:rFonts w:ascii="Times New Roman" w:hAnsi="Times New Roman" w:cs="Times New Roman"/>
    </w:rPr>
  </w:style>
  <w:style w:type="paragraph" w:styleId="Textoindependiente2">
    <w:name w:val="Body Text 2"/>
    <w:basedOn w:val="Normal"/>
    <w:link w:val="Textoindependiente2Car"/>
    <w:uiPriority w:val="99"/>
    <w:pPr>
      <w:tabs>
        <w:tab w:val="num" w:pos="984"/>
      </w:tabs>
      <w:spacing w:after="0" w:line="360" w:lineRule="auto"/>
      <w:jc w:val="both"/>
    </w:pPr>
    <w:rPr>
      <w:rFonts w:ascii="Arial" w:hAnsi="Arial" w:cs="Arial"/>
      <w:sz w:val="24"/>
      <w:szCs w:val="24"/>
      <w:lang w:val="es-ES" w:eastAsia="es-ES"/>
    </w:rPr>
  </w:style>
  <w:style w:type="character" w:customStyle="1" w:styleId="Textoindependiente2Car">
    <w:name w:val="Texto independiente 2 Car"/>
    <w:link w:val="Textoindependiente2"/>
    <w:uiPriority w:val="99"/>
    <w:rPr>
      <w:rFonts w:ascii="Arial" w:hAnsi="Arial" w:cs="Arial"/>
      <w:sz w:val="20"/>
      <w:szCs w:val="20"/>
      <w:lang w:val="es-ES" w:eastAsia="es-ES"/>
    </w:rPr>
  </w:style>
  <w:style w:type="character" w:styleId="Nmerodepgina">
    <w:name w:val="page number"/>
    <w:uiPriority w:val="99"/>
    <w:rPr>
      <w:rFonts w:ascii="Times New Roman" w:hAnsi="Times New Roman" w:cs="Times New Roman"/>
    </w:rPr>
  </w:style>
  <w:style w:type="character" w:customStyle="1" w:styleId="Ttulo1Car">
    <w:name w:val="Título 1 Car"/>
    <w:basedOn w:val="Fuentedeprrafopredeter"/>
    <w:link w:val="Ttulo1"/>
    <w:rsid w:val="00AC029D"/>
    <w:rPr>
      <w:rFonts w:ascii="Times New Roman" w:hAnsi="Times New Roman"/>
      <w:b/>
      <w:bCs/>
      <w:sz w:val="24"/>
      <w:szCs w:val="24"/>
      <w:u w:val="single"/>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sz w:val="22"/>
      <w:szCs w:val="22"/>
      <w:lang w:eastAsia="en-US"/>
    </w:rPr>
  </w:style>
  <w:style w:type="paragraph" w:styleId="Ttulo1">
    <w:name w:val="heading 1"/>
    <w:basedOn w:val="Normal"/>
    <w:next w:val="Normal"/>
    <w:link w:val="Ttulo1Car"/>
    <w:qFormat/>
    <w:rsid w:val="00AC029D"/>
    <w:pPr>
      <w:keepNext/>
      <w:spacing w:after="0" w:line="240" w:lineRule="auto"/>
      <w:outlineLvl w:val="0"/>
    </w:pPr>
    <w:rPr>
      <w:rFonts w:ascii="Times New Roman" w:hAnsi="Times New Roman" w:cs="Times New Roman"/>
      <w:b/>
      <w:bCs/>
      <w:sz w:val="24"/>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link w:val="Textodeglobo"/>
    <w:uiPriority w:val="99"/>
    <w:rPr>
      <w:rFonts w:ascii="Tahoma" w:hAnsi="Tahoma" w:cs="Tahoma"/>
      <w:sz w:val="16"/>
      <w:szCs w:val="16"/>
    </w:r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link w:val="Encabezado"/>
    <w:uiPriority w:val="99"/>
    <w:rPr>
      <w:rFonts w:ascii="Times New Roman" w:hAnsi="Times New Roman" w:cs="Times New Roman"/>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link w:val="Piedepgina"/>
    <w:uiPriority w:val="99"/>
    <w:rPr>
      <w:rFonts w:ascii="Times New Roman" w:hAnsi="Times New Roman" w:cs="Times New Roman"/>
    </w:rPr>
  </w:style>
  <w:style w:type="paragraph" w:styleId="Textoindependiente2">
    <w:name w:val="Body Text 2"/>
    <w:basedOn w:val="Normal"/>
    <w:link w:val="Textoindependiente2Car"/>
    <w:uiPriority w:val="99"/>
    <w:pPr>
      <w:tabs>
        <w:tab w:val="num" w:pos="984"/>
      </w:tabs>
      <w:spacing w:after="0" w:line="360" w:lineRule="auto"/>
      <w:jc w:val="both"/>
    </w:pPr>
    <w:rPr>
      <w:rFonts w:ascii="Arial" w:hAnsi="Arial" w:cs="Arial"/>
      <w:sz w:val="24"/>
      <w:szCs w:val="24"/>
      <w:lang w:val="es-ES" w:eastAsia="es-ES"/>
    </w:rPr>
  </w:style>
  <w:style w:type="character" w:customStyle="1" w:styleId="Textoindependiente2Car">
    <w:name w:val="Texto independiente 2 Car"/>
    <w:link w:val="Textoindependiente2"/>
    <w:uiPriority w:val="99"/>
    <w:rPr>
      <w:rFonts w:ascii="Arial" w:hAnsi="Arial" w:cs="Arial"/>
      <w:sz w:val="20"/>
      <w:szCs w:val="20"/>
      <w:lang w:val="es-ES" w:eastAsia="es-ES"/>
    </w:rPr>
  </w:style>
  <w:style w:type="character" w:styleId="Nmerodepgina">
    <w:name w:val="page number"/>
    <w:uiPriority w:val="99"/>
    <w:rPr>
      <w:rFonts w:ascii="Times New Roman" w:hAnsi="Times New Roman" w:cs="Times New Roman"/>
    </w:rPr>
  </w:style>
  <w:style w:type="character" w:customStyle="1" w:styleId="Ttulo1Car">
    <w:name w:val="Título 1 Car"/>
    <w:basedOn w:val="Fuentedeprrafopredeter"/>
    <w:link w:val="Ttulo1"/>
    <w:rsid w:val="00AC029D"/>
    <w:rPr>
      <w:rFonts w:ascii="Times New Roman" w:hAnsi="Times New Roman"/>
      <w:b/>
      <w:bCs/>
      <w:sz w:val="24"/>
      <w:szCs w:val="24"/>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4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3359</Words>
  <Characters>17516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Montevideo, 9 de junio de 2014</vt:lpstr>
    </vt:vector>
  </TitlesOfParts>
  <Company>Tribunal de Cuentas</Company>
  <LinksUpToDate>false</LinksUpToDate>
  <CharactersWithSpaces>20834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Montevideo, 9 de junio de 2014</dc:title>
  <dc:subject/>
  <dc:creator>Tribunal de Cuentas</dc:creator>
  <cp:keywords/>
  <dc:description/>
  <cp:lastModifiedBy> </cp:lastModifiedBy>
  <cp:revision>6</cp:revision>
  <cp:lastPrinted>2014-09-04T17:06:00Z</cp:lastPrinted>
  <dcterms:created xsi:type="dcterms:W3CDTF">2014-09-04T17:07:00Z</dcterms:created>
  <dcterms:modified xsi:type="dcterms:W3CDTF">2014-09-22T17:56:00Z</dcterms:modified>
</cp:coreProperties>
</file>