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CF" w:rsidRDefault="00D14CC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14CCF" w:rsidRDefault="00D14CC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14CCF" w:rsidRDefault="00D14CC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14CCF" w:rsidRDefault="00D14CC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14CCF" w:rsidRDefault="00D14CC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AGOSTO DE 2014</w:t>
      </w:r>
    </w:p>
    <w:p w:rsidR="00D14CCF" w:rsidRDefault="00D14CC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14CCF" w:rsidRPr="00D14CCF" w:rsidRDefault="00D14CC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14CCF">
        <w:rPr>
          <w:rFonts w:ascii="Helvetica" w:hAnsi="Helvetica"/>
          <w:b/>
          <w:lang w:val="es-UY"/>
        </w:rPr>
        <w:t>(E. E. Nº 201</w:t>
      </w:r>
      <w:r w:rsidR="00EF5250">
        <w:rPr>
          <w:rFonts w:ascii="Helvetica" w:hAnsi="Helvetica"/>
          <w:b/>
          <w:lang w:val="es-UY"/>
        </w:rPr>
        <w:t xml:space="preserve">3-17-1-0005173, </w:t>
      </w:r>
      <w:proofErr w:type="spellStart"/>
      <w:r w:rsidR="00EF5250">
        <w:rPr>
          <w:rFonts w:ascii="Helvetica" w:hAnsi="Helvetica"/>
          <w:b/>
          <w:lang w:val="es-UY"/>
        </w:rPr>
        <w:t>Ent</w:t>
      </w:r>
      <w:proofErr w:type="spellEnd"/>
      <w:r w:rsidR="00EF5250">
        <w:rPr>
          <w:rFonts w:ascii="Helvetica" w:hAnsi="Helvetica"/>
          <w:b/>
          <w:lang w:val="es-UY"/>
        </w:rPr>
        <w:t>. N° 4383/14</w:t>
      </w:r>
      <w:r w:rsidRPr="00D14CCF">
        <w:rPr>
          <w:rFonts w:ascii="Helvetica" w:hAnsi="Helvetica"/>
          <w:b/>
          <w:lang w:val="es-UY"/>
        </w:rPr>
        <w:t>)</w:t>
      </w:r>
    </w:p>
    <w:p w:rsidR="00D14CCF" w:rsidRPr="00D14CCF" w:rsidRDefault="00D14CCF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D14CCF" w:rsidRPr="00D14CCF" w:rsidRDefault="00D14CCF">
      <w:pPr>
        <w:tabs>
          <w:tab w:val="center" w:pos="4253"/>
        </w:tabs>
        <w:suppressAutoHyphens/>
        <w:rPr>
          <w:spacing w:val="-3"/>
          <w:lang w:val="es-UY"/>
        </w:rPr>
      </w:pPr>
    </w:p>
    <w:p w:rsidR="00C6125A" w:rsidRDefault="00C6125A" w:rsidP="00AA635B">
      <w:pPr>
        <w:spacing w:line="360" w:lineRule="auto"/>
        <w:ind w:firstLine="851"/>
        <w:jc w:val="both"/>
        <w:rPr>
          <w:rFonts w:cs="Arial"/>
          <w:lang w:val="es-MX"/>
        </w:rPr>
      </w:pPr>
      <w:r w:rsidRPr="00B4702A">
        <w:rPr>
          <w:rFonts w:cs="Arial"/>
          <w:b/>
          <w:lang w:val="es-MX"/>
        </w:rPr>
        <w:t>VISTO:</w:t>
      </w:r>
      <w:r w:rsidRPr="00B4702A">
        <w:rPr>
          <w:rFonts w:cs="Arial"/>
          <w:lang w:val="es-MX"/>
        </w:rPr>
        <w:t xml:space="preserve"> la nota de fecha </w:t>
      </w:r>
      <w:r w:rsidR="00B4702A">
        <w:rPr>
          <w:rFonts w:cs="Arial"/>
          <w:lang w:val="es-MX"/>
        </w:rPr>
        <w:t>0</w:t>
      </w:r>
      <w:r w:rsidR="00C552BE">
        <w:rPr>
          <w:rFonts w:cs="Arial"/>
          <w:lang w:val="es-MX"/>
        </w:rPr>
        <w:t xml:space="preserve">7 </w:t>
      </w:r>
      <w:r w:rsidR="00B4702A">
        <w:rPr>
          <w:rFonts w:cs="Arial"/>
          <w:lang w:val="es-MX"/>
        </w:rPr>
        <w:t>de julio</w:t>
      </w:r>
      <w:r w:rsidR="003C435D" w:rsidRPr="00B4702A">
        <w:rPr>
          <w:rFonts w:cs="Arial"/>
          <w:lang w:val="es-MX"/>
        </w:rPr>
        <w:t xml:space="preserve"> de 2014</w:t>
      </w:r>
      <w:r w:rsidRPr="00B4702A">
        <w:rPr>
          <w:rFonts w:cs="Arial"/>
          <w:lang w:val="es-MX"/>
        </w:rPr>
        <w:t xml:space="preserve"> remitida por la Facultad de </w:t>
      </w:r>
      <w:r w:rsidR="00442EBA">
        <w:rPr>
          <w:rFonts w:cs="Arial"/>
          <w:lang w:val="es-MX"/>
        </w:rPr>
        <w:t>Psicología</w:t>
      </w:r>
      <w:r w:rsidRPr="00B4702A">
        <w:rPr>
          <w:rFonts w:cs="Arial"/>
          <w:lang w:val="es-MX"/>
        </w:rPr>
        <w:t xml:space="preserve"> de la Universidad de la República</w:t>
      </w:r>
      <w:r w:rsidR="00CE1BF6">
        <w:rPr>
          <w:rFonts w:cs="Arial"/>
          <w:lang w:val="es-MX"/>
        </w:rPr>
        <w:t xml:space="preserve">, </w:t>
      </w:r>
      <w:r w:rsidRPr="00B4702A">
        <w:rPr>
          <w:rFonts w:cs="Arial"/>
          <w:lang w:val="es-MX"/>
        </w:rPr>
        <w:t xml:space="preserve">referente a la observación del procedimiento de rendición de la partida para gastos prevista en el </w:t>
      </w:r>
      <w:r w:rsidR="00D14CCF">
        <w:rPr>
          <w:rFonts w:cs="Arial"/>
          <w:lang w:val="es-MX"/>
        </w:rPr>
        <w:t>A</w:t>
      </w:r>
      <w:r w:rsidRPr="00B4702A">
        <w:rPr>
          <w:rFonts w:cs="Arial"/>
          <w:lang w:val="es-MX"/>
        </w:rPr>
        <w:t>rtículo 57 de</w:t>
      </w:r>
      <w:r w:rsidR="00A50759" w:rsidRPr="00B4702A">
        <w:rPr>
          <w:rFonts w:cs="Arial"/>
          <w:lang w:val="es-MX"/>
        </w:rPr>
        <w:t>l Estatuto del Personal Docente;</w:t>
      </w:r>
    </w:p>
    <w:p w:rsidR="00C6125A" w:rsidRPr="00B4702A" w:rsidRDefault="00D14CCF" w:rsidP="00AA635B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RESULTANDO: </w:t>
      </w:r>
      <w:r w:rsidR="00C6125A" w:rsidRPr="00B4702A">
        <w:rPr>
          <w:rFonts w:cs="Arial"/>
          <w:b/>
          <w:lang w:val="es-MX"/>
        </w:rPr>
        <w:t xml:space="preserve">1) </w:t>
      </w:r>
      <w:r w:rsidR="00C6125A" w:rsidRPr="00B4702A">
        <w:rPr>
          <w:rFonts w:cs="Arial"/>
          <w:lang w:val="es-MX"/>
        </w:rPr>
        <w:t>que por dicha nota se pone</w:t>
      </w:r>
      <w:r w:rsidR="00EF5250">
        <w:rPr>
          <w:rFonts w:cs="Arial"/>
          <w:lang w:val="es-MX"/>
        </w:rPr>
        <w:t>n</w:t>
      </w:r>
      <w:r w:rsidR="00C6125A" w:rsidRPr="00B4702A">
        <w:rPr>
          <w:rFonts w:cs="Arial"/>
          <w:lang w:val="es-MX"/>
        </w:rPr>
        <w:t xml:space="preserve"> en conocimiento de este Tribunal la</w:t>
      </w:r>
      <w:r w:rsidR="00197B15" w:rsidRPr="00B4702A">
        <w:rPr>
          <w:rFonts w:cs="Arial"/>
          <w:lang w:val="es-MX"/>
        </w:rPr>
        <w:t>s observaciones</w:t>
      </w:r>
      <w:r w:rsidR="00C6125A" w:rsidRPr="00B4702A">
        <w:rPr>
          <w:rFonts w:cs="Arial"/>
          <w:lang w:val="es-MX"/>
        </w:rPr>
        <w:t xml:space="preserve"> del procedimiento de rendición de la</w:t>
      </w:r>
      <w:r w:rsidR="00197B15" w:rsidRPr="00B4702A">
        <w:rPr>
          <w:rFonts w:cs="Arial"/>
          <w:lang w:val="es-MX"/>
        </w:rPr>
        <w:t>s</w:t>
      </w:r>
      <w:r w:rsidR="00C6125A" w:rsidRPr="00B4702A">
        <w:rPr>
          <w:rFonts w:cs="Arial"/>
          <w:lang w:val="es-MX"/>
        </w:rPr>
        <w:t xml:space="preserve"> partida</w:t>
      </w:r>
      <w:r w:rsidR="00197B15" w:rsidRPr="00B4702A">
        <w:rPr>
          <w:rFonts w:cs="Arial"/>
          <w:lang w:val="es-MX"/>
        </w:rPr>
        <w:t>s</w:t>
      </w:r>
      <w:r w:rsidR="00C6125A" w:rsidRPr="00B4702A">
        <w:rPr>
          <w:rFonts w:cs="Arial"/>
          <w:lang w:val="es-MX"/>
        </w:rPr>
        <w:t xml:space="preserve"> para gastos correspondiente</w:t>
      </w:r>
      <w:r w:rsidR="00197B15" w:rsidRPr="00B4702A">
        <w:rPr>
          <w:rFonts w:cs="Arial"/>
          <w:lang w:val="es-MX"/>
        </w:rPr>
        <w:t>s</w:t>
      </w:r>
      <w:r w:rsidR="00C6125A" w:rsidRPr="00B4702A">
        <w:rPr>
          <w:rFonts w:cs="Arial"/>
          <w:lang w:val="es-MX"/>
        </w:rPr>
        <w:t xml:space="preserve"> al </w:t>
      </w:r>
      <w:r>
        <w:rPr>
          <w:rFonts w:cs="Arial"/>
          <w:lang w:val="es-MX"/>
        </w:rPr>
        <w:t>A</w:t>
      </w:r>
      <w:r w:rsidR="00C6125A" w:rsidRPr="00B4702A">
        <w:rPr>
          <w:rFonts w:cs="Arial"/>
          <w:lang w:val="es-MX"/>
        </w:rPr>
        <w:t>rtículo 57 del Estatuto del Personal Docente de la Universidad de la Rep</w:t>
      </w:r>
      <w:r w:rsidR="00BA76A4" w:rsidRPr="00B4702A">
        <w:rPr>
          <w:rFonts w:cs="Arial"/>
          <w:lang w:val="es-MX"/>
        </w:rPr>
        <w:t>ública</w:t>
      </w:r>
      <w:r>
        <w:rPr>
          <w:rFonts w:cs="Arial"/>
          <w:lang w:val="es-MX"/>
        </w:rPr>
        <w:t>, por no cumplir con el A</w:t>
      </w:r>
      <w:r w:rsidR="00C6125A" w:rsidRPr="00B4702A">
        <w:rPr>
          <w:rFonts w:cs="Arial"/>
          <w:lang w:val="es-MX"/>
        </w:rPr>
        <w:t>rtículo 132 del TOCAF</w:t>
      </w:r>
      <w:r w:rsidR="00BA76A4" w:rsidRPr="00B4702A">
        <w:rPr>
          <w:rFonts w:cs="Arial"/>
          <w:lang w:val="es-MX"/>
        </w:rPr>
        <w:t xml:space="preserve"> al 30 de </w:t>
      </w:r>
      <w:r w:rsidR="003F4E22">
        <w:rPr>
          <w:rFonts w:cs="Arial"/>
          <w:lang w:val="es-MX"/>
        </w:rPr>
        <w:t>junio</w:t>
      </w:r>
      <w:r w:rsidR="00BA76A4" w:rsidRPr="00B4702A">
        <w:rPr>
          <w:rFonts w:cs="Arial"/>
          <w:lang w:val="es-MX"/>
        </w:rPr>
        <w:t xml:space="preserve"> de 2014</w:t>
      </w:r>
      <w:r w:rsidR="00A50759" w:rsidRPr="00B4702A">
        <w:rPr>
          <w:rFonts w:cs="Arial"/>
          <w:lang w:val="es-MX"/>
        </w:rPr>
        <w:t>;</w:t>
      </w:r>
    </w:p>
    <w:p w:rsidR="00C6125A" w:rsidRDefault="00AA635B" w:rsidP="00AA635B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lang w:val="es-MX"/>
        </w:rPr>
        <w:t xml:space="preserve"> </w:t>
      </w:r>
      <w:r w:rsidR="00C6125A" w:rsidRPr="00B4702A">
        <w:rPr>
          <w:rFonts w:cs="Arial"/>
          <w:b/>
          <w:lang w:val="es-MX"/>
        </w:rPr>
        <w:t xml:space="preserve">2) </w:t>
      </w:r>
      <w:r w:rsidR="00C6125A" w:rsidRPr="00B4702A">
        <w:rPr>
          <w:rFonts w:cs="Arial"/>
          <w:lang w:val="es-MX"/>
        </w:rPr>
        <w:t xml:space="preserve">que las partidas no rendidas en </w:t>
      </w:r>
      <w:r w:rsidR="00C6125A" w:rsidRPr="00B4702A">
        <w:rPr>
          <w:rFonts w:cs="Arial"/>
        </w:rPr>
        <w:t xml:space="preserve">el plazo de 60 días desde el último día del mes en que se otorgaron </w:t>
      </w:r>
      <w:r w:rsidR="00DE587A" w:rsidRPr="00B4702A">
        <w:rPr>
          <w:rFonts w:cs="Arial"/>
        </w:rPr>
        <w:t>los fondos totalizan $</w:t>
      </w:r>
      <w:r w:rsidR="00442EBA">
        <w:rPr>
          <w:rFonts w:cs="Arial"/>
        </w:rPr>
        <w:t xml:space="preserve"> 397.758</w:t>
      </w:r>
      <w:r w:rsidR="00A50759" w:rsidRPr="00B4702A">
        <w:rPr>
          <w:rFonts w:cs="Arial"/>
        </w:rPr>
        <w:t xml:space="preserve"> de acuerdo </w:t>
      </w:r>
      <w:r w:rsidR="00EF5250">
        <w:rPr>
          <w:rFonts w:cs="Arial"/>
        </w:rPr>
        <w:t>con e</w:t>
      </w:r>
      <w:r w:rsidR="00A50759" w:rsidRPr="00B4702A">
        <w:rPr>
          <w:rFonts w:cs="Arial"/>
        </w:rPr>
        <w:t>l siguiente detalle:</w:t>
      </w:r>
    </w:p>
    <w:p w:rsidR="00442EBA" w:rsidRPr="00B4702A" w:rsidRDefault="00442EBA" w:rsidP="00B4702A">
      <w:pPr>
        <w:spacing w:line="360" w:lineRule="auto"/>
        <w:jc w:val="both"/>
        <w:rPr>
          <w:rFonts w:cs="Arial"/>
        </w:rPr>
      </w:pPr>
    </w:p>
    <w:tbl>
      <w:tblPr>
        <w:tblW w:w="649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5"/>
        <w:gridCol w:w="1343"/>
        <w:gridCol w:w="1480"/>
      </w:tblGrid>
      <w:tr w:rsidR="003C435D" w:rsidRPr="00B4702A" w:rsidTr="002F050B">
        <w:trPr>
          <w:trHeight w:val="330"/>
          <w:jc w:val="center"/>
        </w:trPr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5D" w:rsidRPr="00B4702A" w:rsidRDefault="003C435D" w:rsidP="00B4702A">
            <w:pPr>
              <w:spacing w:line="360" w:lineRule="auto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4702A">
              <w:rPr>
                <w:rFonts w:cs="Arial"/>
                <w:b/>
                <w:bCs/>
                <w:color w:val="000000"/>
                <w:lang w:val="es-UY" w:eastAsia="es-UY"/>
              </w:rPr>
              <w:t>Motivo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5D" w:rsidRPr="00B4702A" w:rsidRDefault="003C435D" w:rsidP="00B4702A">
            <w:pPr>
              <w:spacing w:line="360" w:lineRule="auto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4702A">
              <w:rPr>
                <w:rFonts w:cs="Arial"/>
                <w:b/>
                <w:bCs/>
                <w:color w:val="000000"/>
                <w:lang w:val="es-UY" w:eastAsia="es-UY"/>
              </w:rPr>
              <w:t>Cantidad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435D" w:rsidRPr="00B4702A" w:rsidRDefault="003C435D" w:rsidP="00B4702A">
            <w:pPr>
              <w:spacing w:line="360" w:lineRule="auto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4702A">
              <w:rPr>
                <w:rFonts w:cs="Arial"/>
                <w:b/>
                <w:bCs/>
                <w:color w:val="000000"/>
                <w:lang w:val="es-UY" w:eastAsia="es-UY"/>
              </w:rPr>
              <w:t>Importe ($)</w:t>
            </w:r>
          </w:p>
        </w:tc>
      </w:tr>
      <w:tr w:rsidR="003C435D" w:rsidRPr="00B4702A" w:rsidTr="002F050B">
        <w:trPr>
          <w:trHeight w:val="315"/>
          <w:jc w:val="center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5D" w:rsidRPr="00B4702A" w:rsidRDefault="003C435D" w:rsidP="00B4702A">
            <w:pPr>
              <w:spacing w:line="360" w:lineRule="auto"/>
              <w:rPr>
                <w:rFonts w:cs="Arial"/>
                <w:color w:val="000000"/>
                <w:lang w:val="es-UY" w:eastAsia="es-UY"/>
              </w:rPr>
            </w:pPr>
            <w:r w:rsidRPr="00B4702A">
              <w:rPr>
                <w:rFonts w:cs="Arial"/>
                <w:color w:val="000000"/>
                <w:lang w:val="es-UY" w:eastAsia="es-UY"/>
              </w:rPr>
              <w:t xml:space="preserve">Art 132 TOCAF </w:t>
            </w:r>
            <w:proofErr w:type="spellStart"/>
            <w:r w:rsidRPr="00B4702A">
              <w:rPr>
                <w:rFonts w:cs="Arial"/>
                <w:color w:val="000000"/>
                <w:lang w:val="es-UY" w:eastAsia="es-UY"/>
              </w:rPr>
              <w:t>Dec</w:t>
            </w:r>
            <w:proofErr w:type="spellEnd"/>
            <w:r w:rsidR="00EF5250">
              <w:rPr>
                <w:rFonts w:cs="Arial"/>
                <w:color w:val="000000"/>
                <w:lang w:val="es-UY" w:eastAsia="es-UY"/>
              </w:rPr>
              <w:t>.</w:t>
            </w:r>
            <w:r w:rsidRPr="00B4702A">
              <w:rPr>
                <w:rFonts w:cs="Arial"/>
                <w:color w:val="000000"/>
                <w:lang w:val="es-UY" w:eastAsia="es-UY"/>
              </w:rPr>
              <w:t xml:space="preserve"> 150/2012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5D" w:rsidRPr="00B4702A" w:rsidRDefault="00C552BE" w:rsidP="00C552BE">
            <w:pPr>
              <w:spacing w:line="360" w:lineRule="auto"/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435D" w:rsidRPr="00B4702A" w:rsidRDefault="00C552BE" w:rsidP="00C552BE">
            <w:pPr>
              <w:spacing w:line="360" w:lineRule="auto"/>
              <w:jc w:val="right"/>
              <w:rPr>
                <w:rFonts w:cs="Arial"/>
                <w:color w:val="000000"/>
                <w:lang w:val="es-UY" w:eastAsia="es-UY"/>
              </w:rPr>
            </w:pPr>
            <w:r>
              <w:rPr>
                <w:rFonts w:cs="Arial"/>
                <w:color w:val="000000"/>
                <w:lang w:val="es-UY" w:eastAsia="es-UY"/>
              </w:rPr>
              <w:t>397.758</w:t>
            </w:r>
          </w:p>
        </w:tc>
      </w:tr>
      <w:tr w:rsidR="003C435D" w:rsidRPr="00B4702A" w:rsidTr="002F050B">
        <w:trPr>
          <w:trHeight w:val="330"/>
          <w:jc w:val="center"/>
        </w:trPr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5D" w:rsidRPr="00B4702A" w:rsidRDefault="003C435D" w:rsidP="00B4702A">
            <w:pPr>
              <w:spacing w:line="360" w:lineRule="auto"/>
              <w:rPr>
                <w:rFonts w:cs="Arial"/>
                <w:b/>
                <w:bCs/>
                <w:color w:val="000000"/>
                <w:lang w:val="es-UY" w:eastAsia="es-UY"/>
              </w:rPr>
            </w:pPr>
            <w:r w:rsidRPr="00B4702A">
              <w:rPr>
                <w:rFonts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35D" w:rsidRPr="00B4702A" w:rsidRDefault="00C552BE" w:rsidP="00B4702A">
            <w:pPr>
              <w:spacing w:line="360" w:lineRule="auto"/>
              <w:jc w:val="right"/>
              <w:rPr>
                <w:rFonts w:cs="Arial"/>
                <w:b/>
                <w:bCs/>
                <w:color w:val="000000"/>
                <w:lang w:val="es-UY" w:eastAsia="es-UY"/>
              </w:rPr>
            </w:pPr>
            <w:r>
              <w:rPr>
                <w:rFonts w:cs="Arial"/>
                <w:b/>
                <w:bCs/>
                <w:color w:val="000000"/>
                <w:lang w:val="es-UY" w:eastAsia="es-UY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435D" w:rsidRPr="00B4702A" w:rsidRDefault="00C552BE" w:rsidP="00C552BE">
            <w:pPr>
              <w:spacing w:line="360" w:lineRule="auto"/>
              <w:jc w:val="right"/>
              <w:rPr>
                <w:rFonts w:cs="Arial"/>
                <w:b/>
                <w:bCs/>
                <w:color w:val="000000"/>
                <w:lang w:val="es-UY" w:eastAsia="es-UY"/>
              </w:rPr>
            </w:pPr>
            <w:r>
              <w:rPr>
                <w:rFonts w:cs="Arial"/>
                <w:b/>
                <w:color w:val="000000"/>
                <w:lang w:val="es-UY" w:eastAsia="es-UY"/>
              </w:rPr>
              <w:t>397.758</w:t>
            </w:r>
          </w:p>
        </w:tc>
      </w:tr>
    </w:tbl>
    <w:p w:rsidR="00CE1BF6" w:rsidRDefault="00CE1BF6" w:rsidP="00B4702A">
      <w:pPr>
        <w:spacing w:line="360" w:lineRule="auto"/>
        <w:jc w:val="both"/>
        <w:rPr>
          <w:rFonts w:cs="Arial"/>
          <w:b/>
          <w:lang w:val="es-MX"/>
        </w:rPr>
      </w:pPr>
    </w:p>
    <w:p w:rsidR="00C6125A" w:rsidRPr="00B4702A" w:rsidRDefault="00C6125A" w:rsidP="00AA635B">
      <w:pPr>
        <w:spacing w:line="360" w:lineRule="auto"/>
        <w:ind w:firstLine="851"/>
        <w:jc w:val="both"/>
        <w:rPr>
          <w:rFonts w:cs="Arial"/>
          <w:lang w:val="es-MX"/>
        </w:rPr>
      </w:pPr>
      <w:r w:rsidRPr="00B4702A">
        <w:rPr>
          <w:rFonts w:cs="Arial"/>
          <w:b/>
          <w:lang w:val="es-MX"/>
        </w:rPr>
        <w:t>CONSIDERANDO:</w:t>
      </w:r>
      <w:r w:rsidR="00AA635B">
        <w:rPr>
          <w:rFonts w:cs="Arial"/>
          <w:b/>
          <w:lang w:val="es-MX"/>
        </w:rPr>
        <w:t xml:space="preserve"> </w:t>
      </w:r>
      <w:r w:rsidRPr="00B4702A">
        <w:rPr>
          <w:rFonts w:cs="Arial"/>
          <w:b/>
          <w:lang w:val="es-MX"/>
        </w:rPr>
        <w:t>1)</w:t>
      </w:r>
      <w:r w:rsidRPr="00B4702A">
        <w:rPr>
          <w:rFonts w:cs="Arial"/>
          <w:lang w:val="es-MX"/>
        </w:rPr>
        <w:t xml:space="preserve"> que resulta</w:t>
      </w:r>
      <w:r w:rsidR="00E54B4C" w:rsidRPr="00B4702A">
        <w:rPr>
          <w:rFonts w:cs="Arial"/>
          <w:lang w:val="es-MX"/>
        </w:rPr>
        <w:t>n</w:t>
      </w:r>
      <w:r w:rsidRPr="00B4702A">
        <w:rPr>
          <w:rFonts w:cs="Arial"/>
          <w:lang w:val="es-MX"/>
        </w:rPr>
        <w:t xml:space="preserve"> fundado</w:t>
      </w:r>
      <w:r w:rsidR="00E54B4C" w:rsidRPr="00B4702A">
        <w:rPr>
          <w:rFonts w:cs="Arial"/>
          <w:lang w:val="es-MX"/>
        </w:rPr>
        <w:t>s</w:t>
      </w:r>
      <w:r w:rsidRPr="00B4702A">
        <w:rPr>
          <w:rFonts w:cs="Arial"/>
          <w:lang w:val="es-MX"/>
        </w:rPr>
        <w:t xml:space="preserve"> </w:t>
      </w:r>
      <w:r w:rsidR="00E54B4C" w:rsidRPr="00B4702A">
        <w:rPr>
          <w:rFonts w:cs="Arial"/>
          <w:lang w:val="es-MX"/>
        </w:rPr>
        <w:t>los</w:t>
      </w:r>
      <w:r w:rsidRPr="00B4702A">
        <w:rPr>
          <w:rFonts w:cs="Arial"/>
          <w:lang w:val="es-MX"/>
        </w:rPr>
        <w:t xml:space="preserve"> motivo</w:t>
      </w:r>
      <w:r w:rsidR="00E54B4C" w:rsidRPr="00B4702A">
        <w:rPr>
          <w:rFonts w:cs="Arial"/>
          <w:lang w:val="es-MX"/>
        </w:rPr>
        <w:t>s</w:t>
      </w:r>
      <w:r w:rsidRPr="00B4702A">
        <w:rPr>
          <w:rFonts w:cs="Arial"/>
          <w:lang w:val="es-MX"/>
        </w:rPr>
        <w:t xml:space="preserve"> expuesto</w:t>
      </w:r>
      <w:r w:rsidR="00E54B4C" w:rsidRPr="00B4702A">
        <w:rPr>
          <w:rFonts w:cs="Arial"/>
          <w:lang w:val="es-MX"/>
        </w:rPr>
        <w:t>s</w:t>
      </w:r>
      <w:r w:rsidR="00D867E3" w:rsidRPr="00B4702A">
        <w:rPr>
          <w:rFonts w:cs="Arial"/>
          <w:lang w:val="es-MX"/>
        </w:rPr>
        <w:t xml:space="preserve"> por </w:t>
      </w:r>
      <w:r w:rsidR="00DE587A" w:rsidRPr="00B4702A">
        <w:rPr>
          <w:rFonts w:cs="Arial"/>
          <w:lang w:val="es-MX"/>
        </w:rPr>
        <w:t>la</w:t>
      </w:r>
      <w:r w:rsidRPr="00B4702A">
        <w:rPr>
          <w:rFonts w:cs="Arial"/>
          <w:lang w:val="es-MX"/>
        </w:rPr>
        <w:t xml:space="preserve"> Contador</w:t>
      </w:r>
      <w:r w:rsidR="00DE587A" w:rsidRPr="00B4702A">
        <w:rPr>
          <w:rFonts w:cs="Arial"/>
          <w:lang w:val="es-MX"/>
        </w:rPr>
        <w:t>a</w:t>
      </w:r>
      <w:r w:rsidRPr="00B4702A">
        <w:rPr>
          <w:rFonts w:cs="Arial"/>
          <w:lang w:val="es-MX"/>
        </w:rPr>
        <w:t xml:space="preserve"> Delegad</w:t>
      </w:r>
      <w:r w:rsidR="00DE587A" w:rsidRPr="00B4702A">
        <w:rPr>
          <w:rFonts w:cs="Arial"/>
          <w:lang w:val="es-MX"/>
        </w:rPr>
        <w:t>a</w:t>
      </w:r>
      <w:r w:rsidRPr="00B4702A">
        <w:rPr>
          <w:rFonts w:cs="Arial"/>
          <w:lang w:val="es-MX"/>
        </w:rPr>
        <w:t xml:space="preserve"> para no aprobar el proc</w:t>
      </w:r>
      <w:r w:rsidR="00646487" w:rsidRPr="00B4702A">
        <w:rPr>
          <w:rFonts w:cs="Arial"/>
          <w:lang w:val="es-MX"/>
        </w:rPr>
        <w:t>edimiento de rendición referido;</w:t>
      </w:r>
    </w:p>
    <w:p w:rsidR="001C791C" w:rsidRPr="00B4702A" w:rsidRDefault="001C791C" w:rsidP="00AA635B">
      <w:pPr>
        <w:spacing w:line="360" w:lineRule="auto"/>
        <w:ind w:firstLine="2977"/>
        <w:jc w:val="both"/>
        <w:rPr>
          <w:rFonts w:cs="Arial"/>
          <w:lang w:val="es-MX"/>
        </w:rPr>
      </w:pPr>
      <w:r w:rsidRPr="00B4702A">
        <w:rPr>
          <w:rFonts w:cs="Arial"/>
          <w:b/>
          <w:lang w:val="es-MX"/>
        </w:rPr>
        <w:t>2)</w:t>
      </w:r>
      <w:r w:rsidRPr="00B4702A">
        <w:rPr>
          <w:rFonts w:cs="Arial"/>
          <w:lang w:val="es-MX"/>
        </w:rPr>
        <w:t xml:space="preserve"> que no obstante por Oficio Nº 7114/13 de fecha 16 de setiembre de 2013, este Tribunal comunicó a la Universidad de la República el criterio respecto al procedimiento que se debe cumplir a los efectos de la rendición de cuentas de dicha</w:t>
      </w:r>
      <w:r w:rsidR="00646487" w:rsidRPr="00B4702A">
        <w:rPr>
          <w:rFonts w:cs="Arial"/>
          <w:lang w:val="es-MX"/>
        </w:rPr>
        <w:t>s</w:t>
      </w:r>
      <w:r w:rsidRPr="00B4702A">
        <w:rPr>
          <w:rFonts w:cs="Arial"/>
          <w:lang w:val="es-MX"/>
        </w:rPr>
        <w:t xml:space="preserve"> partida</w:t>
      </w:r>
      <w:r w:rsidR="00646487" w:rsidRPr="00B4702A">
        <w:rPr>
          <w:rFonts w:cs="Arial"/>
          <w:lang w:val="es-MX"/>
        </w:rPr>
        <w:t>s</w:t>
      </w:r>
      <w:r w:rsidR="00AA635B">
        <w:rPr>
          <w:rFonts w:cs="Arial"/>
          <w:lang w:val="es-MX"/>
        </w:rPr>
        <w:t>;</w:t>
      </w:r>
    </w:p>
    <w:p w:rsidR="001C791C" w:rsidRPr="00B4702A" w:rsidRDefault="001C791C" w:rsidP="00AA635B">
      <w:pPr>
        <w:spacing w:line="360" w:lineRule="auto"/>
        <w:ind w:firstLine="2977"/>
        <w:jc w:val="both"/>
        <w:rPr>
          <w:rFonts w:cs="Arial"/>
          <w:lang w:val="es-MX"/>
        </w:rPr>
      </w:pPr>
      <w:r w:rsidRPr="00B4702A">
        <w:rPr>
          <w:rFonts w:cs="Arial"/>
          <w:b/>
          <w:lang w:val="es-MX"/>
        </w:rPr>
        <w:lastRenderedPageBreak/>
        <w:t>3)</w:t>
      </w:r>
      <w:r w:rsidRPr="00B4702A">
        <w:rPr>
          <w:rFonts w:cs="Arial"/>
          <w:lang w:val="es-MX"/>
        </w:rPr>
        <w:t xml:space="preserve"> que este Tribunal entiende que una partida puede ser rendida, aunque no esté ejecutada en su totalidad, siempre que se informe en forma documentada o comprobable respecto a la totalidad de los fondos;</w:t>
      </w:r>
    </w:p>
    <w:p w:rsidR="00C6125A" w:rsidRDefault="001C791C" w:rsidP="00AA635B">
      <w:pPr>
        <w:spacing w:line="360" w:lineRule="auto"/>
        <w:ind w:firstLine="2977"/>
        <w:jc w:val="both"/>
        <w:rPr>
          <w:rFonts w:cs="Arial"/>
          <w:lang w:val="es-MX"/>
        </w:rPr>
      </w:pPr>
      <w:r w:rsidRPr="00B4702A">
        <w:rPr>
          <w:rFonts w:cs="Arial"/>
          <w:b/>
          <w:lang w:val="es-MX"/>
        </w:rPr>
        <w:t xml:space="preserve">4) </w:t>
      </w:r>
      <w:r w:rsidR="00197B15" w:rsidRPr="00B4702A">
        <w:rPr>
          <w:rFonts w:cs="Arial"/>
          <w:lang w:val="es-MX"/>
        </w:rPr>
        <w:t xml:space="preserve">que la Universidad </w:t>
      </w:r>
      <w:r w:rsidR="008B71F4">
        <w:rPr>
          <w:rFonts w:cs="Arial"/>
          <w:lang w:val="es-MX"/>
        </w:rPr>
        <w:t xml:space="preserve">de la República </w:t>
      </w:r>
      <w:r w:rsidR="00197B15" w:rsidRPr="00B4702A">
        <w:rPr>
          <w:rFonts w:cs="Arial"/>
          <w:lang w:val="es-MX"/>
        </w:rPr>
        <w:t>debe</w:t>
      </w:r>
      <w:r w:rsidR="007E161D" w:rsidRPr="00B4702A">
        <w:rPr>
          <w:rFonts w:cs="Arial"/>
          <w:lang w:val="es-MX"/>
        </w:rPr>
        <w:t>rá</w:t>
      </w:r>
      <w:r w:rsidR="00197B15" w:rsidRPr="00B4702A">
        <w:rPr>
          <w:rFonts w:cs="Arial"/>
          <w:lang w:val="es-MX"/>
        </w:rPr>
        <w:t xml:space="preserve"> cumplir </w:t>
      </w:r>
      <w:r w:rsidR="00646487" w:rsidRPr="00B4702A">
        <w:rPr>
          <w:rFonts w:cs="Arial"/>
          <w:lang w:val="es-MX"/>
        </w:rPr>
        <w:t>con el procedimiento definido por</w:t>
      </w:r>
      <w:r w:rsidR="00197B15" w:rsidRPr="00B4702A">
        <w:rPr>
          <w:rFonts w:cs="Arial"/>
          <w:lang w:val="es-MX"/>
        </w:rPr>
        <w:t xml:space="preserve"> la </w:t>
      </w:r>
      <w:r w:rsidR="007E161D" w:rsidRPr="00B4702A">
        <w:rPr>
          <w:rFonts w:cs="Arial"/>
          <w:lang w:val="es-MX"/>
        </w:rPr>
        <w:t>Sesión Ordinaria del Consejo Directivo Central</w:t>
      </w:r>
      <w:r w:rsidR="00197B15" w:rsidRPr="00B4702A">
        <w:rPr>
          <w:rFonts w:cs="Arial"/>
          <w:lang w:val="es-MX"/>
        </w:rPr>
        <w:t xml:space="preserve"> </w:t>
      </w:r>
      <w:r w:rsidR="007E161D" w:rsidRPr="00B4702A">
        <w:rPr>
          <w:rFonts w:cs="Arial"/>
          <w:lang w:val="es-MX"/>
        </w:rPr>
        <w:t>de fecha 25 de marzo de 2014</w:t>
      </w:r>
      <w:r w:rsidR="00CE1BF6">
        <w:rPr>
          <w:rFonts w:cs="Arial"/>
          <w:lang w:val="es-MX"/>
        </w:rPr>
        <w:t>,</w:t>
      </w:r>
      <w:r w:rsidR="007E161D" w:rsidRPr="00B4702A">
        <w:rPr>
          <w:rFonts w:cs="Arial"/>
          <w:lang w:val="es-MX"/>
        </w:rPr>
        <w:t xml:space="preserve"> a través de la C.D.C. </w:t>
      </w:r>
      <w:r w:rsidR="00197B15" w:rsidRPr="00B4702A">
        <w:rPr>
          <w:rFonts w:cs="Arial"/>
          <w:lang w:val="es-MX"/>
        </w:rPr>
        <w:t>201/</w:t>
      </w:r>
      <w:r w:rsidR="007E161D" w:rsidRPr="00B4702A">
        <w:rPr>
          <w:rFonts w:cs="Arial"/>
          <w:lang w:val="es-MX"/>
        </w:rPr>
        <w:t>14</w:t>
      </w:r>
      <w:r w:rsidR="00197B15" w:rsidRPr="00B4702A">
        <w:rPr>
          <w:rFonts w:cs="Arial"/>
          <w:lang w:val="es-MX"/>
        </w:rPr>
        <w:t xml:space="preserve"> (Instructivo para la </w:t>
      </w:r>
      <w:r w:rsidR="007E161D" w:rsidRPr="00B4702A">
        <w:rPr>
          <w:rFonts w:cs="Arial"/>
          <w:lang w:val="es-MX"/>
        </w:rPr>
        <w:t>Rendición de C</w:t>
      </w:r>
      <w:r w:rsidR="00197B15" w:rsidRPr="00B4702A">
        <w:rPr>
          <w:rFonts w:cs="Arial"/>
          <w:lang w:val="es-MX"/>
        </w:rPr>
        <w:t xml:space="preserve">uentas de la </w:t>
      </w:r>
      <w:r w:rsidR="007E161D" w:rsidRPr="00B4702A">
        <w:rPr>
          <w:rFonts w:cs="Arial"/>
          <w:lang w:val="es-MX"/>
        </w:rPr>
        <w:t>P</w:t>
      </w:r>
      <w:r w:rsidR="00197B15" w:rsidRPr="00B4702A">
        <w:rPr>
          <w:rFonts w:cs="Arial"/>
          <w:lang w:val="es-MX"/>
        </w:rPr>
        <w:t xml:space="preserve">artida del </w:t>
      </w:r>
      <w:r w:rsidR="00D14CCF">
        <w:rPr>
          <w:rFonts w:cs="Arial"/>
          <w:lang w:val="es-MX"/>
        </w:rPr>
        <w:t>A</w:t>
      </w:r>
      <w:r w:rsidR="00197B15" w:rsidRPr="00B4702A">
        <w:rPr>
          <w:rFonts w:cs="Arial"/>
          <w:lang w:val="es-MX"/>
        </w:rPr>
        <w:t>rtículo 57</w:t>
      </w:r>
      <w:r w:rsidR="00CE1BF6">
        <w:rPr>
          <w:rFonts w:cs="Arial"/>
          <w:lang w:val="es-MX"/>
        </w:rPr>
        <w:t>,</w:t>
      </w:r>
      <w:r w:rsidR="00197B15" w:rsidRPr="00B4702A">
        <w:rPr>
          <w:rFonts w:cs="Arial"/>
          <w:lang w:val="es-MX"/>
        </w:rPr>
        <w:t xml:space="preserve"> Inciso 2 del Estatuto del Personal Docente)</w:t>
      </w:r>
      <w:r w:rsidR="00CE1BF6">
        <w:rPr>
          <w:rFonts w:cs="Arial"/>
          <w:lang w:val="es-MX"/>
        </w:rPr>
        <w:t>;</w:t>
      </w:r>
    </w:p>
    <w:p w:rsidR="00C6125A" w:rsidRDefault="00C6125A" w:rsidP="00AA635B">
      <w:pPr>
        <w:spacing w:line="360" w:lineRule="auto"/>
        <w:ind w:firstLine="851"/>
        <w:jc w:val="both"/>
        <w:rPr>
          <w:rFonts w:cs="Arial"/>
          <w:lang w:val="es-MX"/>
        </w:rPr>
      </w:pPr>
      <w:r w:rsidRPr="00B4702A">
        <w:rPr>
          <w:rFonts w:cs="Arial"/>
          <w:b/>
          <w:lang w:val="es-MX"/>
        </w:rPr>
        <w:t xml:space="preserve">ATENTO: </w:t>
      </w:r>
      <w:r w:rsidRPr="00B4702A">
        <w:rPr>
          <w:rFonts w:cs="Arial"/>
          <w:lang w:val="es-MX"/>
        </w:rPr>
        <w:t xml:space="preserve">a lo expuesto precedentemente y a lo dispuesto por el </w:t>
      </w:r>
      <w:r w:rsidR="00D14CCF">
        <w:rPr>
          <w:rFonts w:cs="Arial"/>
          <w:lang w:val="es-MX"/>
        </w:rPr>
        <w:t>A</w:t>
      </w:r>
      <w:r w:rsidRPr="00B4702A">
        <w:rPr>
          <w:rFonts w:cs="Arial"/>
          <w:lang w:val="es-MX"/>
        </w:rPr>
        <w:t>rt</w:t>
      </w:r>
      <w:r w:rsidR="00D14CCF">
        <w:rPr>
          <w:rFonts w:cs="Arial"/>
          <w:lang w:val="es-MX"/>
        </w:rPr>
        <w:t>ículo</w:t>
      </w:r>
      <w:r w:rsidRPr="00B4702A">
        <w:rPr>
          <w:rFonts w:cs="Arial"/>
          <w:lang w:val="es-MX"/>
        </w:rPr>
        <w:t xml:space="preserve"> 211 Lit</w:t>
      </w:r>
      <w:r w:rsidR="00D14CCF">
        <w:rPr>
          <w:rFonts w:cs="Arial"/>
          <w:lang w:val="es-MX"/>
        </w:rPr>
        <w:t>eral</w:t>
      </w:r>
      <w:r w:rsidRPr="00B4702A">
        <w:rPr>
          <w:rFonts w:cs="Arial"/>
          <w:lang w:val="es-MX"/>
        </w:rPr>
        <w:t xml:space="preserve"> E) de la Constitución de la República;</w:t>
      </w:r>
    </w:p>
    <w:p w:rsidR="00C6125A" w:rsidRDefault="00C6125A" w:rsidP="00CE1BF6">
      <w:pPr>
        <w:spacing w:line="360" w:lineRule="auto"/>
        <w:ind w:left="2124" w:firstLine="708"/>
        <w:jc w:val="both"/>
        <w:rPr>
          <w:rFonts w:cs="Arial"/>
          <w:b/>
          <w:lang w:val="es-MX"/>
        </w:rPr>
      </w:pPr>
      <w:r w:rsidRPr="00B4702A">
        <w:rPr>
          <w:rFonts w:cs="Arial"/>
          <w:b/>
          <w:lang w:val="es-MX"/>
        </w:rPr>
        <w:t>EL TRIBUNAL ACUERDA</w:t>
      </w:r>
    </w:p>
    <w:p w:rsidR="00C6125A" w:rsidRPr="00B4702A" w:rsidRDefault="000D5CB0" w:rsidP="000D5CB0">
      <w:pPr>
        <w:tabs>
          <w:tab w:val="left" w:pos="284"/>
        </w:tabs>
        <w:spacing w:line="360" w:lineRule="auto"/>
        <w:ind w:left="284" w:hanging="284"/>
        <w:jc w:val="both"/>
        <w:rPr>
          <w:rFonts w:cs="Arial"/>
          <w:bCs/>
        </w:rPr>
      </w:pPr>
      <w:r w:rsidRPr="000D5CB0">
        <w:rPr>
          <w:rFonts w:cs="Arial"/>
          <w:b/>
          <w:lang w:val="es-MX"/>
        </w:rPr>
        <w:t>1)</w:t>
      </w:r>
      <w:r>
        <w:rPr>
          <w:rFonts w:cs="Arial"/>
          <w:lang w:val="es-MX"/>
        </w:rPr>
        <w:t xml:space="preserve"> </w:t>
      </w:r>
      <w:r w:rsidR="00DE587A" w:rsidRPr="00B4702A">
        <w:rPr>
          <w:rFonts w:cs="Arial"/>
          <w:lang w:val="es-MX"/>
        </w:rPr>
        <w:t>Ratificar lo actuado por la</w:t>
      </w:r>
      <w:r w:rsidR="00C6125A" w:rsidRPr="00B4702A">
        <w:rPr>
          <w:rFonts w:cs="Arial"/>
          <w:lang w:val="es-MX"/>
        </w:rPr>
        <w:t xml:space="preserve"> Contador</w:t>
      </w:r>
      <w:r w:rsidR="00DE587A" w:rsidRPr="00B4702A">
        <w:rPr>
          <w:rFonts w:cs="Arial"/>
          <w:lang w:val="es-MX"/>
        </w:rPr>
        <w:t>a</w:t>
      </w:r>
      <w:r w:rsidR="00C6125A" w:rsidRPr="00B4702A">
        <w:rPr>
          <w:rFonts w:cs="Arial"/>
          <w:lang w:val="es-MX"/>
        </w:rPr>
        <w:t xml:space="preserve"> D</w:t>
      </w:r>
      <w:r w:rsidR="00D867E3" w:rsidRPr="00B4702A">
        <w:rPr>
          <w:rFonts w:cs="Arial"/>
          <w:lang w:val="es-MX"/>
        </w:rPr>
        <w:t>elegad</w:t>
      </w:r>
      <w:r w:rsidR="00DE587A" w:rsidRPr="00B4702A">
        <w:rPr>
          <w:rFonts w:cs="Arial"/>
          <w:lang w:val="es-MX"/>
        </w:rPr>
        <w:t>a</w:t>
      </w:r>
      <w:r w:rsidR="00C6125A" w:rsidRPr="00B4702A">
        <w:rPr>
          <w:rFonts w:cs="Arial"/>
          <w:lang w:val="es-MX"/>
        </w:rPr>
        <w:t xml:space="preserve"> en </w:t>
      </w:r>
      <w:r w:rsidR="00DE587A" w:rsidRPr="00B4702A">
        <w:rPr>
          <w:rFonts w:cs="Arial"/>
          <w:lang w:val="es-MX"/>
        </w:rPr>
        <w:t xml:space="preserve">la Facultad de </w:t>
      </w:r>
      <w:r w:rsidR="00442EBA">
        <w:rPr>
          <w:rFonts w:cs="Arial"/>
          <w:lang w:val="es-MX"/>
        </w:rPr>
        <w:t>Psicología</w:t>
      </w:r>
      <w:r w:rsidR="00C6125A" w:rsidRPr="00B4702A">
        <w:rPr>
          <w:rFonts w:cs="Arial"/>
          <w:lang w:val="es-MX"/>
        </w:rPr>
        <w:t xml:space="preserve"> de la Universidad de la República</w:t>
      </w:r>
      <w:r w:rsidR="00C6125A" w:rsidRPr="00B4702A">
        <w:rPr>
          <w:rFonts w:cs="Arial"/>
          <w:bCs/>
          <w:lang w:val="es-MX"/>
        </w:rPr>
        <w:t xml:space="preserve"> </w:t>
      </w:r>
      <w:r w:rsidR="00C6125A" w:rsidRPr="00B4702A">
        <w:rPr>
          <w:rFonts w:cs="Arial"/>
          <w:lang w:val="es-MX"/>
        </w:rPr>
        <w:t xml:space="preserve">respecto a las Rendiciones de Cuentas de las partidas para gastos del </w:t>
      </w:r>
      <w:r w:rsidR="008B71F4">
        <w:rPr>
          <w:rFonts w:cs="Arial"/>
          <w:lang w:val="es-MX"/>
        </w:rPr>
        <w:t>A</w:t>
      </w:r>
      <w:r w:rsidR="00C6125A" w:rsidRPr="00B4702A">
        <w:rPr>
          <w:rFonts w:cs="Arial"/>
          <w:lang w:val="es-MX"/>
        </w:rPr>
        <w:t>rtículo 57</w:t>
      </w:r>
      <w:r w:rsidR="00CE1BF6">
        <w:rPr>
          <w:rFonts w:cs="Arial"/>
          <w:lang w:val="es-MX"/>
        </w:rPr>
        <w:t>,</w:t>
      </w:r>
      <w:r w:rsidR="007E161D" w:rsidRPr="00B4702A">
        <w:rPr>
          <w:rFonts w:cs="Arial"/>
          <w:lang w:val="es-MX"/>
        </w:rPr>
        <w:t xml:space="preserve"> Inciso 2</w:t>
      </w:r>
      <w:r w:rsidR="00C6125A" w:rsidRPr="00B4702A">
        <w:rPr>
          <w:rFonts w:cs="Arial"/>
          <w:lang w:val="es-MX"/>
        </w:rPr>
        <w:t xml:space="preserve"> del Estatuto del Personal Docente;</w:t>
      </w:r>
    </w:p>
    <w:p w:rsidR="001C791C" w:rsidRPr="00B4702A" w:rsidRDefault="000D5CB0" w:rsidP="000D5CB0">
      <w:pPr>
        <w:tabs>
          <w:tab w:val="left" w:pos="0"/>
        </w:tabs>
        <w:spacing w:line="360" w:lineRule="auto"/>
        <w:jc w:val="both"/>
        <w:rPr>
          <w:rFonts w:cs="Arial"/>
        </w:rPr>
      </w:pPr>
      <w:r w:rsidRPr="000D5CB0">
        <w:rPr>
          <w:rFonts w:cs="Arial"/>
          <w:b/>
        </w:rPr>
        <w:t>2)</w:t>
      </w:r>
      <w:r>
        <w:rPr>
          <w:rFonts w:cs="Arial"/>
          <w:b/>
        </w:rPr>
        <w:t xml:space="preserve"> </w:t>
      </w:r>
      <w:r w:rsidR="001C791C" w:rsidRPr="00B4702A">
        <w:rPr>
          <w:rFonts w:cs="Arial"/>
        </w:rPr>
        <w:t>Téngase presente lo expresad</w:t>
      </w:r>
      <w:r w:rsidR="00197B15" w:rsidRPr="00B4702A">
        <w:rPr>
          <w:rFonts w:cs="Arial"/>
        </w:rPr>
        <w:t xml:space="preserve">o en los </w:t>
      </w:r>
      <w:r w:rsidR="00A50759" w:rsidRPr="00B4702A">
        <w:rPr>
          <w:rFonts w:cs="Arial"/>
        </w:rPr>
        <w:t>C</w:t>
      </w:r>
      <w:r w:rsidR="00197B15" w:rsidRPr="00B4702A">
        <w:rPr>
          <w:rFonts w:cs="Arial"/>
        </w:rPr>
        <w:t>onsiderandos 2</w:t>
      </w:r>
      <w:r w:rsidR="00A50759" w:rsidRPr="00B4702A">
        <w:rPr>
          <w:rFonts w:cs="Arial"/>
        </w:rPr>
        <w:t>)</w:t>
      </w:r>
      <w:r w:rsidR="00197B15" w:rsidRPr="00B4702A">
        <w:rPr>
          <w:rFonts w:cs="Arial"/>
        </w:rPr>
        <w:t>, 3</w:t>
      </w:r>
      <w:r w:rsidR="00A50759" w:rsidRPr="00B4702A">
        <w:rPr>
          <w:rFonts w:cs="Arial"/>
        </w:rPr>
        <w:t>)</w:t>
      </w:r>
      <w:r w:rsidR="00197B15" w:rsidRPr="00B4702A">
        <w:rPr>
          <w:rFonts w:cs="Arial"/>
        </w:rPr>
        <w:t xml:space="preserve"> y 4</w:t>
      </w:r>
      <w:r w:rsidR="00A50759" w:rsidRPr="00B4702A">
        <w:rPr>
          <w:rFonts w:cs="Arial"/>
        </w:rPr>
        <w:t>)</w:t>
      </w:r>
      <w:r w:rsidR="00197B15" w:rsidRPr="00B4702A">
        <w:rPr>
          <w:rFonts w:cs="Arial"/>
        </w:rPr>
        <w:t>;</w:t>
      </w:r>
    </w:p>
    <w:p w:rsidR="00CE1BF6" w:rsidRPr="00CE1BF6" w:rsidRDefault="000D5CB0" w:rsidP="000D5CB0">
      <w:pPr>
        <w:tabs>
          <w:tab w:val="left" w:pos="0"/>
        </w:tabs>
        <w:spacing w:line="360" w:lineRule="auto"/>
        <w:jc w:val="both"/>
        <w:rPr>
          <w:rFonts w:cs="Arial"/>
        </w:rPr>
      </w:pPr>
      <w:r w:rsidRPr="000D5CB0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</w:t>
      </w:r>
      <w:r w:rsidR="00C6125A" w:rsidRPr="00CE1BF6">
        <w:rPr>
          <w:rFonts w:cs="Arial"/>
          <w:lang w:val="es-MX"/>
        </w:rPr>
        <w:t>Comunicar a la Facult</w:t>
      </w:r>
      <w:r w:rsidR="00DE587A" w:rsidRPr="00CE1BF6">
        <w:rPr>
          <w:rFonts w:cs="Arial"/>
          <w:lang w:val="es-MX"/>
        </w:rPr>
        <w:t xml:space="preserve">ad de </w:t>
      </w:r>
      <w:r w:rsidR="00442EBA">
        <w:rPr>
          <w:rFonts w:cs="Arial"/>
          <w:lang w:val="es-MX"/>
        </w:rPr>
        <w:t>Psicología</w:t>
      </w:r>
      <w:r w:rsidR="00197B15" w:rsidRPr="00CE1BF6">
        <w:rPr>
          <w:rFonts w:cs="Arial"/>
          <w:lang w:val="es-MX"/>
        </w:rPr>
        <w:t xml:space="preserve"> y a</w:t>
      </w:r>
      <w:r w:rsidR="00DE587A" w:rsidRPr="00CE1BF6">
        <w:rPr>
          <w:rFonts w:cs="Arial"/>
          <w:lang w:val="es-MX"/>
        </w:rPr>
        <w:t xml:space="preserve"> </w:t>
      </w:r>
      <w:r w:rsidR="00D867E3" w:rsidRPr="00CE1BF6">
        <w:rPr>
          <w:rFonts w:cs="Arial"/>
          <w:lang w:val="es-MX"/>
        </w:rPr>
        <w:t>l</w:t>
      </w:r>
      <w:r w:rsidR="00DE587A" w:rsidRPr="00CE1BF6">
        <w:rPr>
          <w:rFonts w:cs="Arial"/>
          <w:lang w:val="es-MX"/>
        </w:rPr>
        <w:t>a</w:t>
      </w:r>
      <w:r w:rsidR="00197B15" w:rsidRPr="00CE1BF6">
        <w:rPr>
          <w:rFonts w:cs="Arial"/>
          <w:lang w:val="es-MX"/>
        </w:rPr>
        <w:t xml:space="preserve"> Contador</w:t>
      </w:r>
      <w:r w:rsidR="00DE587A" w:rsidRPr="00CE1BF6">
        <w:rPr>
          <w:rFonts w:cs="Arial"/>
          <w:lang w:val="es-MX"/>
        </w:rPr>
        <w:t>a</w:t>
      </w:r>
      <w:r w:rsidR="00197B15" w:rsidRPr="00CE1BF6">
        <w:rPr>
          <w:rFonts w:cs="Arial"/>
          <w:lang w:val="es-MX"/>
        </w:rPr>
        <w:t xml:space="preserve"> Delegad</w:t>
      </w:r>
      <w:r w:rsidR="00DE587A" w:rsidRPr="00CE1BF6">
        <w:rPr>
          <w:rFonts w:cs="Arial"/>
          <w:lang w:val="es-MX"/>
        </w:rPr>
        <w:t>a</w:t>
      </w:r>
      <w:r>
        <w:rPr>
          <w:rFonts w:cs="Arial"/>
          <w:lang w:val="es-MX"/>
        </w:rPr>
        <w:t>;</w:t>
      </w:r>
      <w:r w:rsidR="00CE1BF6">
        <w:rPr>
          <w:rFonts w:cs="Arial"/>
          <w:lang w:val="es-MX"/>
        </w:rPr>
        <w:t xml:space="preserve"> y</w:t>
      </w:r>
    </w:p>
    <w:p w:rsidR="001C791C" w:rsidRDefault="000D5CB0" w:rsidP="000D5CB0">
      <w:pPr>
        <w:tabs>
          <w:tab w:val="left" w:pos="0"/>
        </w:tabs>
        <w:spacing w:line="360" w:lineRule="auto"/>
        <w:jc w:val="both"/>
        <w:rPr>
          <w:rFonts w:cs="Arial"/>
        </w:rPr>
      </w:pPr>
      <w:r w:rsidRPr="000D5CB0">
        <w:rPr>
          <w:rFonts w:cs="Arial"/>
          <w:b/>
        </w:rPr>
        <w:t>4)</w:t>
      </w:r>
      <w:r>
        <w:rPr>
          <w:rFonts w:cs="Arial"/>
        </w:rPr>
        <w:t xml:space="preserve"> </w:t>
      </w:r>
      <w:r w:rsidR="001C791C" w:rsidRPr="00CE1BF6">
        <w:rPr>
          <w:rFonts w:cs="Arial"/>
        </w:rPr>
        <w:t>Dar cuenta a la Asamblea General.</w:t>
      </w:r>
    </w:p>
    <w:p w:rsidR="005A49D2" w:rsidRPr="00B4702A" w:rsidRDefault="000D5CB0" w:rsidP="00AA635B">
      <w:pPr>
        <w:tabs>
          <w:tab w:val="left" w:pos="0"/>
        </w:tabs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</w:p>
    <w:sectPr w:rsidR="005A49D2" w:rsidRPr="00B4702A" w:rsidSect="00D14CCF">
      <w:pgSz w:w="11906" w:h="16838"/>
      <w:pgMar w:top="3402" w:right="1701" w:bottom="1418" w:left="1701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F1" w:rsidRDefault="00AE6AF1" w:rsidP="00C21A9F">
      <w:r>
        <w:separator/>
      </w:r>
    </w:p>
  </w:endnote>
  <w:endnote w:type="continuationSeparator" w:id="0">
    <w:p w:rsidR="00AE6AF1" w:rsidRDefault="00AE6AF1" w:rsidP="00C2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F1" w:rsidRDefault="00AE6AF1" w:rsidP="00C21A9F">
      <w:r>
        <w:separator/>
      </w:r>
    </w:p>
  </w:footnote>
  <w:footnote w:type="continuationSeparator" w:id="0">
    <w:p w:rsidR="00AE6AF1" w:rsidRDefault="00AE6AF1" w:rsidP="00C2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242C5"/>
    <w:multiLevelType w:val="hybridMultilevel"/>
    <w:tmpl w:val="FDB47E20"/>
    <w:lvl w:ilvl="0" w:tplc="037AAC2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5A"/>
    <w:rsid w:val="00083F11"/>
    <w:rsid w:val="000D5CB0"/>
    <w:rsid w:val="00144332"/>
    <w:rsid w:val="00183610"/>
    <w:rsid w:val="00197B15"/>
    <w:rsid w:val="001C791C"/>
    <w:rsid w:val="001D69DB"/>
    <w:rsid w:val="0020035A"/>
    <w:rsid w:val="00203475"/>
    <w:rsid w:val="002777BF"/>
    <w:rsid w:val="00295337"/>
    <w:rsid w:val="002D4F61"/>
    <w:rsid w:val="002E5981"/>
    <w:rsid w:val="002F050B"/>
    <w:rsid w:val="003301D9"/>
    <w:rsid w:val="00341B6B"/>
    <w:rsid w:val="003C435D"/>
    <w:rsid w:val="003F4E22"/>
    <w:rsid w:val="00422719"/>
    <w:rsid w:val="0042445A"/>
    <w:rsid w:val="00442EBA"/>
    <w:rsid w:val="004A14F2"/>
    <w:rsid w:val="005209E4"/>
    <w:rsid w:val="00531F0B"/>
    <w:rsid w:val="0055348F"/>
    <w:rsid w:val="005A49D2"/>
    <w:rsid w:val="00617EA0"/>
    <w:rsid w:val="00646487"/>
    <w:rsid w:val="006A3ECF"/>
    <w:rsid w:val="006D06B3"/>
    <w:rsid w:val="006E4C7D"/>
    <w:rsid w:val="006F5887"/>
    <w:rsid w:val="0070129F"/>
    <w:rsid w:val="00701526"/>
    <w:rsid w:val="00724C66"/>
    <w:rsid w:val="00791AC6"/>
    <w:rsid w:val="007E161D"/>
    <w:rsid w:val="007F01CB"/>
    <w:rsid w:val="0085035C"/>
    <w:rsid w:val="00871833"/>
    <w:rsid w:val="008A0581"/>
    <w:rsid w:val="008B71F4"/>
    <w:rsid w:val="008C5726"/>
    <w:rsid w:val="00911E0C"/>
    <w:rsid w:val="009C1C14"/>
    <w:rsid w:val="00A43C75"/>
    <w:rsid w:val="00A50759"/>
    <w:rsid w:val="00A71226"/>
    <w:rsid w:val="00AA635B"/>
    <w:rsid w:val="00AB297C"/>
    <w:rsid w:val="00AE6AF1"/>
    <w:rsid w:val="00AF0981"/>
    <w:rsid w:val="00AF15D8"/>
    <w:rsid w:val="00B4702A"/>
    <w:rsid w:val="00BA76A4"/>
    <w:rsid w:val="00BB329A"/>
    <w:rsid w:val="00BF0262"/>
    <w:rsid w:val="00C14077"/>
    <w:rsid w:val="00C21A9F"/>
    <w:rsid w:val="00C37E17"/>
    <w:rsid w:val="00C552BE"/>
    <w:rsid w:val="00C6125A"/>
    <w:rsid w:val="00CE0AA9"/>
    <w:rsid w:val="00CE1BF6"/>
    <w:rsid w:val="00D013AF"/>
    <w:rsid w:val="00D14CCF"/>
    <w:rsid w:val="00D32222"/>
    <w:rsid w:val="00D46A35"/>
    <w:rsid w:val="00D5380A"/>
    <w:rsid w:val="00D670E3"/>
    <w:rsid w:val="00D8492B"/>
    <w:rsid w:val="00D867E3"/>
    <w:rsid w:val="00DA45A6"/>
    <w:rsid w:val="00DC4A81"/>
    <w:rsid w:val="00DE3440"/>
    <w:rsid w:val="00DE587A"/>
    <w:rsid w:val="00E1497D"/>
    <w:rsid w:val="00E54B4C"/>
    <w:rsid w:val="00EC24F0"/>
    <w:rsid w:val="00EF5250"/>
    <w:rsid w:val="00F30371"/>
    <w:rsid w:val="00F3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5A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6125A"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6125A"/>
    <w:pPr>
      <w:keepNext/>
      <w:outlineLvl w:val="1"/>
    </w:pPr>
    <w:rPr>
      <w:rFonts w:ascii="Bookman Old Style" w:hAnsi="Bookman Old Style"/>
      <w:b/>
      <w:spacing w:val="-3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6125A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link w:val="Ttulo2"/>
    <w:semiHidden/>
    <w:rsid w:val="00C6125A"/>
    <w:rPr>
      <w:rFonts w:ascii="Bookman Old Style" w:eastAsia="Times New Roman" w:hAnsi="Bookman Old Style" w:cs="Times New Roman"/>
      <w:b/>
      <w:spacing w:val="-3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unhideWhenUsed/>
    <w:rsid w:val="00C6125A"/>
    <w:pPr>
      <w:tabs>
        <w:tab w:val="center" w:pos="4252"/>
        <w:tab w:val="right" w:pos="8504"/>
      </w:tabs>
    </w:pPr>
    <w:rPr>
      <w:spacing w:val="-3"/>
      <w:szCs w:val="20"/>
    </w:rPr>
  </w:style>
  <w:style w:type="character" w:customStyle="1" w:styleId="PiedepginaCar">
    <w:name w:val="Pie de página Car"/>
    <w:link w:val="Piedepgina"/>
    <w:rsid w:val="00C6125A"/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C6125A"/>
    <w:pPr>
      <w:widowControl w:val="0"/>
      <w:snapToGrid w:val="0"/>
    </w:pPr>
    <w:rPr>
      <w:rFonts w:ascii="Courier New" w:hAnsi="Courier New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25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6125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42445A"/>
    <w:pPr>
      <w:spacing w:line="360" w:lineRule="auto"/>
    </w:pPr>
    <w:rPr>
      <w:szCs w:val="20"/>
    </w:rPr>
  </w:style>
  <w:style w:type="character" w:customStyle="1" w:styleId="Textoindependiente2Car">
    <w:name w:val="Texto independiente 2 Car"/>
    <w:link w:val="Textoindependiente2"/>
    <w:rsid w:val="0042445A"/>
    <w:rPr>
      <w:rFonts w:ascii="Arial" w:eastAsia="Times New Roman" w:hAnsi="Arial"/>
      <w:sz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1A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1A9F"/>
    <w:rPr>
      <w:rFonts w:ascii="Arial" w:eastAsia="Times New Roman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5A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6125A"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6125A"/>
    <w:pPr>
      <w:keepNext/>
      <w:outlineLvl w:val="1"/>
    </w:pPr>
    <w:rPr>
      <w:rFonts w:ascii="Bookman Old Style" w:hAnsi="Bookman Old Style"/>
      <w:b/>
      <w:spacing w:val="-3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6125A"/>
    <w:rPr>
      <w:rFonts w:ascii="Bookman Old Style" w:eastAsia="Times New Roman" w:hAnsi="Bookman Old Style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link w:val="Ttulo2"/>
    <w:semiHidden/>
    <w:rsid w:val="00C6125A"/>
    <w:rPr>
      <w:rFonts w:ascii="Bookman Old Style" w:eastAsia="Times New Roman" w:hAnsi="Bookman Old Style" w:cs="Times New Roman"/>
      <w:b/>
      <w:spacing w:val="-3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unhideWhenUsed/>
    <w:rsid w:val="00C6125A"/>
    <w:pPr>
      <w:tabs>
        <w:tab w:val="center" w:pos="4252"/>
        <w:tab w:val="right" w:pos="8504"/>
      </w:tabs>
    </w:pPr>
    <w:rPr>
      <w:spacing w:val="-3"/>
      <w:szCs w:val="20"/>
    </w:rPr>
  </w:style>
  <w:style w:type="character" w:customStyle="1" w:styleId="PiedepginaCar">
    <w:name w:val="Pie de página Car"/>
    <w:link w:val="Piedepgina"/>
    <w:rsid w:val="00C6125A"/>
    <w:rPr>
      <w:rFonts w:ascii="Arial" w:eastAsia="Times New Roman" w:hAnsi="Arial" w:cs="Times New Roman"/>
      <w:spacing w:val="-3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C6125A"/>
    <w:pPr>
      <w:widowControl w:val="0"/>
      <w:snapToGrid w:val="0"/>
    </w:pPr>
    <w:rPr>
      <w:rFonts w:ascii="Courier New" w:hAnsi="Courier New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25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6125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42445A"/>
    <w:pPr>
      <w:spacing w:line="360" w:lineRule="auto"/>
    </w:pPr>
    <w:rPr>
      <w:szCs w:val="20"/>
    </w:rPr>
  </w:style>
  <w:style w:type="character" w:customStyle="1" w:styleId="Textoindependiente2Car">
    <w:name w:val="Texto independiente 2 Car"/>
    <w:link w:val="Textoindependiente2"/>
    <w:rsid w:val="0042445A"/>
    <w:rPr>
      <w:rFonts w:ascii="Arial" w:eastAsia="Times New Roman" w:hAnsi="Arial"/>
      <w:sz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21A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1A9F"/>
    <w:rPr>
      <w:rFonts w:ascii="Arial" w:eastAsia="Times New Roman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7C95-7ADC-4861-B7A1-9F3662BC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Promoenamerica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 </cp:lastModifiedBy>
  <cp:revision>6</cp:revision>
  <cp:lastPrinted>2014-08-14T16:08:00Z</cp:lastPrinted>
  <dcterms:created xsi:type="dcterms:W3CDTF">2014-08-14T16:08:00Z</dcterms:created>
  <dcterms:modified xsi:type="dcterms:W3CDTF">2014-09-05T19:34:00Z</dcterms:modified>
</cp:coreProperties>
</file>