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F5" w:rsidRPr="009615F5" w:rsidRDefault="009615F5" w:rsidP="009615F5">
      <w:pPr>
        <w:tabs>
          <w:tab w:val="left" w:pos="-720"/>
        </w:tabs>
        <w:suppressAutoHyphens/>
        <w:spacing w:after="120" w:line="360" w:lineRule="auto"/>
        <w:jc w:val="right"/>
        <w:rPr>
          <w:rFonts w:ascii="Arial" w:hAnsi="Arial"/>
          <w:spacing w:val="-3"/>
          <w:sz w:val="24"/>
          <w:lang w:val="es-ES_tradnl"/>
        </w:rPr>
      </w:pPr>
      <w:bookmarkStart w:id="0" w:name="_GoBack"/>
      <w:bookmarkEnd w:id="0"/>
      <w:r w:rsidRPr="009615F5">
        <w:rPr>
          <w:rFonts w:ascii="Arial" w:hAnsi="Arial"/>
          <w:spacing w:val="-3"/>
          <w:sz w:val="24"/>
          <w:lang w:val="es-ES_tradnl"/>
        </w:rPr>
        <w:t>Montevideo, 8 de agosto de 2014</w:t>
      </w:r>
    </w:p>
    <w:p w:rsidR="009615F5" w:rsidRDefault="009615F5" w:rsidP="00794B22">
      <w:pPr>
        <w:tabs>
          <w:tab w:val="left" w:pos="-720"/>
        </w:tabs>
        <w:suppressAutoHyphens/>
        <w:spacing w:line="360" w:lineRule="auto"/>
        <w:jc w:val="both"/>
        <w:rPr>
          <w:rFonts w:ascii="Arial" w:hAnsi="Arial"/>
          <w:spacing w:val="-3"/>
          <w:sz w:val="24"/>
          <w:lang w:val="es-ES_tradnl"/>
        </w:rPr>
      </w:pPr>
    </w:p>
    <w:p w:rsidR="009615F5" w:rsidRPr="009615F5" w:rsidRDefault="00794B22" w:rsidP="00794B22">
      <w:pPr>
        <w:tabs>
          <w:tab w:val="left" w:pos="-720"/>
        </w:tabs>
        <w:suppressAutoHyphens/>
        <w:spacing w:line="360" w:lineRule="auto"/>
        <w:jc w:val="both"/>
        <w:rPr>
          <w:rFonts w:ascii="Arial" w:hAnsi="Arial"/>
          <w:spacing w:val="-3"/>
          <w:sz w:val="24"/>
          <w:lang w:val="es-ES_tradnl"/>
        </w:rPr>
      </w:pPr>
      <w:r w:rsidRPr="009615F5">
        <w:rPr>
          <w:rFonts w:ascii="Arial" w:hAnsi="Arial"/>
          <w:spacing w:val="-3"/>
          <w:sz w:val="24"/>
          <w:lang w:val="es-ES_tradnl"/>
        </w:rPr>
        <w:t>S</w:t>
      </w:r>
      <w:r w:rsidR="009615F5" w:rsidRPr="009615F5">
        <w:rPr>
          <w:rFonts w:ascii="Arial" w:hAnsi="Arial"/>
          <w:spacing w:val="-3"/>
          <w:sz w:val="24"/>
          <w:lang w:val="es-ES_tradnl"/>
        </w:rPr>
        <w:t>eño</w:t>
      </w:r>
      <w:r w:rsidRPr="009615F5">
        <w:rPr>
          <w:rFonts w:ascii="Arial" w:hAnsi="Arial"/>
          <w:spacing w:val="-3"/>
          <w:sz w:val="24"/>
          <w:lang w:val="es-ES_tradnl"/>
        </w:rPr>
        <w:t>r</w:t>
      </w:r>
    </w:p>
    <w:p w:rsidR="00794B22" w:rsidRPr="009615F5" w:rsidRDefault="00794B22" w:rsidP="00794B22">
      <w:pPr>
        <w:tabs>
          <w:tab w:val="left" w:pos="-720"/>
        </w:tabs>
        <w:suppressAutoHyphens/>
        <w:spacing w:line="360" w:lineRule="auto"/>
        <w:jc w:val="both"/>
        <w:rPr>
          <w:rFonts w:ascii="Arial" w:hAnsi="Arial"/>
          <w:spacing w:val="-3"/>
          <w:sz w:val="24"/>
          <w:lang w:val="es-ES_tradnl"/>
        </w:rPr>
      </w:pPr>
      <w:r w:rsidRPr="009615F5">
        <w:rPr>
          <w:rFonts w:ascii="Arial" w:hAnsi="Arial"/>
          <w:spacing w:val="-3"/>
          <w:sz w:val="24"/>
          <w:lang w:val="es-ES_tradnl"/>
        </w:rPr>
        <w:t>Ministro de Transporte y Obras Públicas</w:t>
      </w:r>
    </w:p>
    <w:p w:rsidR="00794B22" w:rsidRPr="009615F5" w:rsidRDefault="00794B22" w:rsidP="00794B22">
      <w:pPr>
        <w:tabs>
          <w:tab w:val="left" w:pos="-720"/>
        </w:tabs>
        <w:suppressAutoHyphens/>
        <w:spacing w:line="360" w:lineRule="auto"/>
        <w:rPr>
          <w:rFonts w:ascii="Arial" w:hAnsi="Arial"/>
          <w:spacing w:val="-3"/>
          <w:sz w:val="24"/>
          <w:lang w:val="es-ES_tradnl"/>
        </w:rPr>
      </w:pPr>
      <w:r w:rsidRPr="009615F5">
        <w:rPr>
          <w:rFonts w:ascii="Arial" w:hAnsi="Arial"/>
          <w:spacing w:val="-3"/>
          <w:sz w:val="24"/>
          <w:lang w:val="es-ES_tradnl"/>
        </w:rPr>
        <w:t>Don Enrique Pintado</w:t>
      </w:r>
      <w:r w:rsidRPr="009615F5">
        <w:rPr>
          <w:rFonts w:ascii="Arial" w:hAnsi="Arial"/>
          <w:spacing w:val="-3"/>
          <w:sz w:val="24"/>
          <w:lang w:val="es-ES_tradnl"/>
        </w:rPr>
        <w:tab/>
      </w:r>
      <w:r w:rsidRPr="009615F5">
        <w:rPr>
          <w:rFonts w:ascii="Arial" w:hAnsi="Arial"/>
          <w:spacing w:val="-3"/>
          <w:sz w:val="24"/>
          <w:lang w:val="es-ES_tradnl"/>
        </w:rPr>
        <w:tab/>
      </w:r>
      <w:r w:rsidRPr="009615F5">
        <w:rPr>
          <w:rFonts w:ascii="Arial" w:hAnsi="Arial"/>
          <w:spacing w:val="-3"/>
          <w:sz w:val="24"/>
          <w:lang w:val="es-ES_tradnl"/>
        </w:rPr>
        <w:tab/>
      </w:r>
      <w:r w:rsidRPr="009615F5">
        <w:rPr>
          <w:rFonts w:ascii="Arial" w:hAnsi="Arial"/>
          <w:spacing w:val="-3"/>
          <w:sz w:val="24"/>
          <w:lang w:val="es-ES_tradnl"/>
        </w:rPr>
        <w:tab/>
      </w:r>
    </w:p>
    <w:p w:rsidR="009615F5" w:rsidRDefault="009615F5" w:rsidP="009615F5">
      <w:pPr>
        <w:tabs>
          <w:tab w:val="left" w:pos="-720"/>
        </w:tabs>
        <w:suppressAutoHyphens/>
        <w:spacing w:line="360" w:lineRule="auto"/>
        <w:jc w:val="right"/>
        <w:rPr>
          <w:rFonts w:ascii="Arial" w:hAnsi="Arial"/>
          <w:spacing w:val="-3"/>
          <w:sz w:val="24"/>
          <w:lang w:val="es-ES_tradnl"/>
        </w:rPr>
      </w:pPr>
    </w:p>
    <w:p w:rsidR="009615F5" w:rsidRDefault="009615F5" w:rsidP="009615F5">
      <w:pPr>
        <w:tabs>
          <w:tab w:val="left" w:pos="-720"/>
        </w:tabs>
        <w:suppressAutoHyphens/>
        <w:spacing w:line="360" w:lineRule="auto"/>
        <w:jc w:val="right"/>
        <w:rPr>
          <w:rFonts w:ascii="Arial" w:hAnsi="Arial"/>
          <w:spacing w:val="-3"/>
          <w:sz w:val="24"/>
          <w:lang w:val="es-ES_tradnl"/>
        </w:rPr>
      </w:pPr>
      <w:r>
        <w:rPr>
          <w:rFonts w:ascii="Arial" w:hAnsi="Arial"/>
          <w:spacing w:val="-3"/>
          <w:sz w:val="24"/>
          <w:lang w:val="es-ES_tradnl"/>
        </w:rPr>
        <w:t xml:space="preserve">E </w:t>
      </w:r>
      <w:proofErr w:type="spellStart"/>
      <w:r>
        <w:rPr>
          <w:rFonts w:ascii="Arial" w:hAnsi="Arial"/>
          <w:spacing w:val="-3"/>
          <w:sz w:val="24"/>
          <w:lang w:val="es-ES_tradnl"/>
        </w:rPr>
        <w:t>E</w:t>
      </w:r>
      <w:proofErr w:type="spellEnd"/>
      <w:r>
        <w:rPr>
          <w:rFonts w:ascii="Arial" w:hAnsi="Arial"/>
          <w:spacing w:val="-3"/>
          <w:sz w:val="24"/>
          <w:lang w:val="es-ES_tradnl"/>
        </w:rPr>
        <w:t xml:space="preserve"> 2013-17-1-0007402</w:t>
      </w:r>
    </w:p>
    <w:p w:rsidR="009615F5" w:rsidRPr="00A16744" w:rsidRDefault="00263A4A" w:rsidP="009615F5">
      <w:pPr>
        <w:tabs>
          <w:tab w:val="left" w:pos="-720"/>
        </w:tabs>
        <w:suppressAutoHyphens/>
        <w:spacing w:line="360" w:lineRule="auto"/>
        <w:jc w:val="right"/>
        <w:rPr>
          <w:rFonts w:ascii="Arial" w:hAnsi="Arial"/>
          <w:spacing w:val="-3"/>
          <w:sz w:val="24"/>
          <w:lang w:val="en-US"/>
        </w:rPr>
      </w:pPr>
      <w:proofErr w:type="gramStart"/>
      <w:r w:rsidRPr="00A16744">
        <w:rPr>
          <w:rFonts w:ascii="Arial" w:hAnsi="Arial"/>
          <w:spacing w:val="-3"/>
          <w:sz w:val="24"/>
          <w:lang w:val="en-US"/>
        </w:rPr>
        <w:t>Of.</w:t>
      </w:r>
      <w:proofErr w:type="gramEnd"/>
      <w:r w:rsidRPr="00A16744">
        <w:rPr>
          <w:rFonts w:ascii="Arial" w:hAnsi="Arial"/>
          <w:spacing w:val="-3"/>
          <w:sz w:val="24"/>
          <w:lang w:val="en-US"/>
        </w:rPr>
        <w:t xml:space="preserve"> N° 6251/14</w:t>
      </w:r>
    </w:p>
    <w:p w:rsidR="00794B22" w:rsidRPr="00A16744" w:rsidRDefault="00263A4A" w:rsidP="009615F5">
      <w:pPr>
        <w:tabs>
          <w:tab w:val="left" w:pos="-720"/>
        </w:tabs>
        <w:suppressAutoHyphens/>
        <w:spacing w:line="360" w:lineRule="auto"/>
        <w:jc w:val="right"/>
        <w:rPr>
          <w:rFonts w:ascii="Arial" w:hAnsi="Arial"/>
          <w:b/>
          <w:spacing w:val="-3"/>
          <w:sz w:val="24"/>
          <w:lang w:val="en-US"/>
        </w:rPr>
      </w:pPr>
      <w:proofErr w:type="spellStart"/>
      <w:proofErr w:type="gramStart"/>
      <w:r w:rsidRPr="00A16744">
        <w:rPr>
          <w:rFonts w:ascii="Arial" w:hAnsi="Arial"/>
          <w:spacing w:val="-3"/>
          <w:sz w:val="24"/>
          <w:lang w:val="en-US"/>
        </w:rPr>
        <w:t>Ent</w:t>
      </w:r>
      <w:proofErr w:type="spellEnd"/>
      <w:proofErr w:type="gramEnd"/>
      <w:r w:rsidRPr="00A16744">
        <w:rPr>
          <w:rFonts w:ascii="Arial" w:hAnsi="Arial"/>
          <w:spacing w:val="-3"/>
          <w:sz w:val="24"/>
          <w:lang w:val="en-US"/>
        </w:rPr>
        <w:t xml:space="preserve">. </w:t>
      </w:r>
      <w:proofErr w:type="spellStart"/>
      <w:proofErr w:type="gramStart"/>
      <w:r w:rsidRPr="00A16744">
        <w:rPr>
          <w:rFonts w:ascii="Arial" w:hAnsi="Arial"/>
          <w:spacing w:val="-3"/>
          <w:sz w:val="24"/>
          <w:lang w:val="en-US"/>
        </w:rPr>
        <w:t>inic</w:t>
      </w:r>
      <w:proofErr w:type="spellEnd"/>
      <w:proofErr w:type="gramEnd"/>
      <w:r w:rsidRPr="00A16744">
        <w:rPr>
          <w:rFonts w:ascii="Arial" w:hAnsi="Arial"/>
          <w:spacing w:val="-3"/>
          <w:sz w:val="24"/>
          <w:lang w:val="en-US"/>
        </w:rPr>
        <w:t>. N° 550/14 y E. Nº 1986/14</w:t>
      </w:r>
      <w:r w:rsidR="009615F5" w:rsidRPr="00A16744">
        <w:rPr>
          <w:rFonts w:ascii="Arial" w:hAnsi="Arial"/>
          <w:spacing w:val="-3"/>
          <w:sz w:val="24"/>
          <w:lang w:val="en-US"/>
        </w:rPr>
        <w:t xml:space="preserve"> </w:t>
      </w:r>
      <w:r w:rsidR="00794B22" w:rsidRPr="00A16744">
        <w:rPr>
          <w:rFonts w:ascii="Arial" w:hAnsi="Arial"/>
          <w:b/>
          <w:spacing w:val="-3"/>
          <w:sz w:val="24"/>
          <w:lang w:val="en-US"/>
        </w:rPr>
        <w:t xml:space="preserve">                                                                   </w:t>
      </w:r>
    </w:p>
    <w:p w:rsidR="009615F5" w:rsidRPr="00A16744" w:rsidRDefault="009615F5" w:rsidP="00794B22">
      <w:pPr>
        <w:tabs>
          <w:tab w:val="left" w:pos="-720"/>
        </w:tabs>
        <w:suppressAutoHyphens/>
        <w:spacing w:after="120" w:line="360" w:lineRule="auto"/>
        <w:jc w:val="both"/>
        <w:rPr>
          <w:rFonts w:ascii="Arial" w:hAnsi="Arial"/>
          <w:sz w:val="24"/>
          <w:lang w:val="en-US"/>
        </w:rPr>
      </w:pPr>
    </w:p>
    <w:p w:rsidR="00794B22" w:rsidRDefault="00785BE5" w:rsidP="00794B22">
      <w:pPr>
        <w:tabs>
          <w:tab w:val="left" w:pos="-720"/>
        </w:tabs>
        <w:suppressAutoHyphens/>
        <w:spacing w:after="120" w:line="360" w:lineRule="auto"/>
        <w:jc w:val="both"/>
        <w:rPr>
          <w:rFonts w:ascii="Arial" w:hAnsi="Arial"/>
          <w:spacing w:val="-3"/>
          <w:sz w:val="24"/>
          <w:lang w:val="es-MX"/>
        </w:rPr>
      </w:pPr>
      <w:r w:rsidRPr="00A16744">
        <w:rPr>
          <w:rFonts w:ascii="Arial" w:hAnsi="Arial"/>
          <w:sz w:val="24"/>
          <w:lang w:val="en-US"/>
        </w:rPr>
        <w:tab/>
      </w:r>
      <w:r w:rsidR="00794B22">
        <w:rPr>
          <w:rFonts w:ascii="Arial" w:hAnsi="Arial"/>
          <w:sz w:val="24"/>
          <w:lang w:val="es-MX"/>
        </w:rPr>
        <w:t>El Tribunal de Cuentas, en Sesión de fecha 4 de diciembre de 2013, resolvió aceptar la solicitud de auditoría de los estados financieros del “Programa de Rehabilitación y Mantenimiento Vial”</w:t>
      </w:r>
      <w:r w:rsidR="00C91358">
        <w:rPr>
          <w:rFonts w:ascii="Arial" w:hAnsi="Arial"/>
          <w:sz w:val="24"/>
          <w:lang w:val="es-MX"/>
        </w:rPr>
        <w:t>,</w:t>
      </w:r>
      <w:r w:rsidR="00794B22">
        <w:rPr>
          <w:rFonts w:ascii="Arial" w:hAnsi="Arial"/>
          <w:sz w:val="24"/>
          <w:lang w:val="es-MX"/>
        </w:rPr>
        <w:t xml:space="preserve"> el cual es financiado parcialmente por el Contrato de Préstamo BIRF 8205-UY y ejecutado por el Ministerio de Transporte y Obras Públicas.</w:t>
      </w:r>
    </w:p>
    <w:p w:rsidR="00794B22" w:rsidRDefault="00794B22" w:rsidP="00785BE5">
      <w:pPr>
        <w:spacing w:after="120" w:line="360" w:lineRule="auto"/>
        <w:ind w:firstLine="708"/>
        <w:jc w:val="both"/>
        <w:rPr>
          <w:rFonts w:ascii="Arial" w:hAnsi="Arial"/>
          <w:sz w:val="24"/>
          <w:lang w:val="es-MX"/>
        </w:rPr>
      </w:pPr>
      <w:r>
        <w:rPr>
          <w:rFonts w:ascii="Arial" w:hAnsi="Arial"/>
          <w:sz w:val="24"/>
          <w:lang w:val="es-MX"/>
        </w:rPr>
        <w:t xml:space="preserve">Al efectuar la planificación de la auditoría se comprobó que los estados financieros del Programa </w:t>
      </w:r>
      <w:r w:rsidR="00785BE5">
        <w:rPr>
          <w:rFonts w:ascii="Arial" w:hAnsi="Arial"/>
          <w:sz w:val="24"/>
          <w:lang w:val="es-MX"/>
        </w:rPr>
        <w:t>-</w:t>
      </w:r>
      <w:r>
        <w:rPr>
          <w:rFonts w:ascii="Arial" w:hAnsi="Arial"/>
          <w:sz w:val="24"/>
          <w:lang w:val="es-MX"/>
        </w:rPr>
        <w:t xml:space="preserve">citados en la Carta Compromiso suscrita </w:t>
      </w:r>
      <w:r w:rsidR="00263A4A">
        <w:rPr>
          <w:rFonts w:ascii="Arial" w:hAnsi="Arial"/>
          <w:sz w:val="24"/>
          <w:lang w:val="es-MX"/>
        </w:rPr>
        <w:t>por</w:t>
      </w:r>
      <w:r>
        <w:rPr>
          <w:rFonts w:ascii="Arial" w:hAnsi="Arial"/>
          <w:sz w:val="24"/>
          <w:lang w:val="es-MX"/>
        </w:rPr>
        <w:t xml:space="preserve"> el Tribunal de Cuentas y e</w:t>
      </w:r>
      <w:r w:rsidR="00785BE5">
        <w:rPr>
          <w:rFonts w:ascii="Arial" w:hAnsi="Arial"/>
          <w:sz w:val="24"/>
          <w:lang w:val="es-MX"/>
        </w:rPr>
        <w:t>se</w:t>
      </w:r>
      <w:r>
        <w:rPr>
          <w:rFonts w:ascii="Arial" w:hAnsi="Arial"/>
          <w:sz w:val="24"/>
          <w:lang w:val="es-MX"/>
        </w:rPr>
        <w:t xml:space="preserve"> Ministerio</w:t>
      </w:r>
      <w:r w:rsidR="00785BE5">
        <w:rPr>
          <w:rFonts w:ascii="Arial" w:hAnsi="Arial"/>
          <w:sz w:val="24"/>
          <w:lang w:val="es-MX"/>
        </w:rPr>
        <w:t>-</w:t>
      </w:r>
      <w:r>
        <w:rPr>
          <w:rFonts w:ascii="Arial" w:hAnsi="Arial"/>
          <w:sz w:val="24"/>
          <w:lang w:val="es-MX"/>
        </w:rPr>
        <w:t xml:space="preserve"> difieren de los requeridos específicamente por el BIRF para este Préstamo.</w:t>
      </w:r>
    </w:p>
    <w:p w:rsidR="00794B22" w:rsidRDefault="00794B22" w:rsidP="00794B22">
      <w:pPr>
        <w:spacing w:after="120" w:line="360" w:lineRule="auto"/>
        <w:ind w:firstLine="709"/>
        <w:jc w:val="both"/>
        <w:rPr>
          <w:rFonts w:ascii="Arial" w:hAnsi="Arial"/>
          <w:sz w:val="24"/>
          <w:lang w:val="es-MX"/>
        </w:rPr>
      </w:pPr>
      <w:r>
        <w:rPr>
          <w:rFonts w:ascii="Arial" w:hAnsi="Arial"/>
          <w:sz w:val="24"/>
          <w:lang w:val="es-MX"/>
        </w:rPr>
        <w:t>En consecuencia, se entiende necesario dejar sin efecto la Car</w:t>
      </w:r>
      <w:r w:rsidR="00785BE5">
        <w:rPr>
          <w:rFonts w:ascii="Arial" w:hAnsi="Arial"/>
          <w:sz w:val="24"/>
          <w:lang w:val="es-MX"/>
        </w:rPr>
        <w:t xml:space="preserve">ta Compromiso suscrita </w:t>
      </w:r>
      <w:r>
        <w:rPr>
          <w:rFonts w:ascii="Arial" w:hAnsi="Arial"/>
          <w:sz w:val="24"/>
          <w:lang w:val="es-MX"/>
        </w:rPr>
        <w:t>y celebrar una nueva con los Términos de Referencia aprobados por el Banco Mundial.</w:t>
      </w:r>
    </w:p>
    <w:p w:rsidR="00794B22" w:rsidRDefault="00794B22" w:rsidP="00794B22">
      <w:pPr>
        <w:tabs>
          <w:tab w:val="left" w:pos="-720"/>
        </w:tabs>
        <w:suppressAutoHyphens/>
        <w:spacing w:after="120" w:line="360" w:lineRule="auto"/>
        <w:ind w:firstLine="720"/>
        <w:jc w:val="both"/>
        <w:rPr>
          <w:rFonts w:ascii="Arial" w:hAnsi="Arial"/>
          <w:sz w:val="24"/>
          <w:lang w:val="es-ES_tradnl"/>
        </w:rPr>
      </w:pPr>
      <w:r>
        <w:rPr>
          <w:rFonts w:ascii="Arial" w:hAnsi="Arial"/>
          <w:sz w:val="24"/>
          <w:lang w:val="es-ES_tradnl"/>
        </w:rPr>
        <w:t>A efectos de su formalización se agrega</w:t>
      </w:r>
      <w:r w:rsidR="003A7DA1">
        <w:rPr>
          <w:rFonts w:ascii="Arial" w:hAnsi="Arial"/>
          <w:sz w:val="24"/>
          <w:lang w:val="es-ES_tradnl"/>
        </w:rPr>
        <w:t>n</w:t>
      </w:r>
      <w:r>
        <w:rPr>
          <w:rFonts w:ascii="Arial" w:hAnsi="Arial"/>
          <w:sz w:val="24"/>
          <w:lang w:val="es-ES_tradnl"/>
        </w:rPr>
        <w:t xml:space="preserve">, en carácter de anexo, </w:t>
      </w:r>
      <w:r w:rsidR="003A7DA1">
        <w:rPr>
          <w:rFonts w:ascii="Arial" w:hAnsi="Arial"/>
          <w:sz w:val="24"/>
          <w:lang w:val="es-ES_tradnl"/>
        </w:rPr>
        <w:t xml:space="preserve">dos vías de </w:t>
      </w:r>
      <w:r>
        <w:rPr>
          <w:rFonts w:ascii="Arial" w:hAnsi="Arial"/>
          <w:sz w:val="24"/>
          <w:lang w:val="es-ES_tradnl"/>
        </w:rPr>
        <w:t>una nueva Carta Compromiso donde consta:</w:t>
      </w:r>
    </w:p>
    <w:p w:rsidR="00794B22" w:rsidRDefault="00794B22" w:rsidP="00794B22">
      <w:pPr>
        <w:numPr>
          <w:ilvl w:val="0"/>
          <w:numId w:val="1"/>
        </w:numPr>
        <w:tabs>
          <w:tab w:val="num" w:pos="426"/>
        </w:tabs>
        <w:suppressAutoHyphens/>
        <w:spacing w:after="120" w:line="360" w:lineRule="auto"/>
        <w:rPr>
          <w:rFonts w:ascii="Arial" w:hAnsi="Arial"/>
          <w:sz w:val="24"/>
          <w:lang w:val="es-ES_tradnl"/>
        </w:rPr>
      </w:pPr>
      <w:r>
        <w:rPr>
          <w:rFonts w:ascii="Arial" w:hAnsi="Arial"/>
          <w:sz w:val="24"/>
          <w:lang w:val="es-ES_tradnl"/>
        </w:rPr>
        <w:t>La confirmación de nuestro entendimiento del encargo</w:t>
      </w:r>
      <w:r w:rsidR="00263A4A">
        <w:rPr>
          <w:rFonts w:ascii="Arial" w:hAnsi="Arial"/>
          <w:sz w:val="24"/>
          <w:lang w:val="es-ES_tradnl"/>
        </w:rPr>
        <w:t>;</w:t>
      </w:r>
    </w:p>
    <w:p w:rsidR="009615F5" w:rsidRDefault="00794B22" w:rsidP="00794B22">
      <w:pPr>
        <w:numPr>
          <w:ilvl w:val="0"/>
          <w:numId w:val="1"/>
        </w:numPr>
        <w:tabs>
          <w:tab w:val="num" w:pos="426"/>
        </w:tabs>
        <w:suppressAutoHyphens/>
        <w:spacing w:after="120" w:line="360" w:lineRule="auto"/>
        <w:rPr>
          <w:rFonts w:ascii="Arial" w:hAnsi="Arial"/>
          <w:sz w:val="24"/>
          <w:lang w:val="es-ES_tradnl"/>
        </w:rPr>
      </w:pPr>
      <w:r>
        <w:rPr>
          <w:rFonts w:ascii="Arial" w:hAnsi="Arial"/>
          <w:sz w:val="24"/>
          <w:lang w:val="es-ES_tradnl"/>
        </w:rPr>
        <w:t xml:space="preserve">La naturaleza de los servicios a prestar por el Ministerio </w:t>
      </w:r>
      <w:r w:rsidR="003A7DA1">
        <w:rPr>
          <w:rFonts w:ascii="Arial" w:hAnsi="Arial"/>
          <w:sz w:val="24"/>
          <w:lang w:val="es-ES_tradnl"/>
        </w:rPr>
        <w:t xml:space="preserve">de Transporte y </w:t>
      </w:r>
    </w:p>
    <w:p w:rsidR="009615F5" w:rsidRDefault="009615F5" w:rsidP="00263A4A">
      <w:pPr>
        <w:suppressAutoHyphens/>
        <w:spacing w:after="120" w:line="360" w:lineRule="auto"/>
        <w:ind w:left="360"/>
        <w:rPr>
          <w:rFonts w:ascii="Arial" w:hAnsi="Arial"/>
          <w:sz w:val="24"/>
          <w:lang w:val="es-ES_tradnl"/>
        </w:rPr>
      </w:pPr>
    </w:p>
    <w:p w:rsidR="00794B22" w:rsidRDefault="003A7DA1" w:rsidP="009615F5">
      <w:pPr>
        <w:suppressAutoHyphens/>
        <w:spacing w:after="120" w:line="360" w:lineRule="auto"/>
        <w:ind w:left="720"/>
        <w:rPr>
          <w:rFonts w:ascii="Arial" w:hAnsi="Arial"/>
          <w:sz w:val="24"/>
          <w:lang w:val="es-ES_tradnl"/>
        </w:rPr>
      </w:pPr>
      <w:r>
        <w:rPr>
          <w:rFonts w:ascii="Arial" w:hAnsi="Arial"/>
          <w:sz w:val="24"/>
          <w:lang w:val="es-ES_tradnl"/>
        </w:rPr>
        <w:lastRenderedPageBreak/>
        <w:t>Obras Públicas co</w:t>
      </w:r>
      <w:r w:rsidR="00794B22">
        <w:rPr>
          <w:rFonts w:ascii="Arial" w:hAnsi="Arial"/>
          <w:sz w:val="24"/>
          <w:lang w:val="es-ES_tradnl"/>
        </w:rPr>
        <w:t>n relación a la auditoría de los estados fi</w:t>
      </w:r>
      <w:r w:rsidR="00785BE5">
        <w:rPr>
          <w:rFonts w:ascii="Arial" w:hAnsi="Arial"/>
          <w:sz w:val="24"/>
          <w:lang w:val="es-ES_tradnl"/>
        </w:rPr>
        <w:t>nancieros del citado Proyecto</w:t>
      </w:r>
      <w:r w:rsidR="00341E86">
        <w:rPr>
          <w:rFonts w:ascii="Arial" w:hAnsi="Arial"/>
          <w:sz w:val="24"/>
          <w:lang w:val="es-ES_tradnl"/>
        </w:rPr>
        <w:t>;</w:t>
      </w:r>
      <w:r w:rsidR="00785BE5">
        <w:rPr>
          <w:rFonts w:ascii="Arial" w:hAnsi="Arial"/>
          <w:sz w:val="24"/>
          <w:lang w:val="es-ES_tradnl"/>
        </w:rPr>
        <w:t xml:space="preserve"> y</w:t>
      </w:r>
    </w:p>
    <w:p w:rsidR="00794B22" w:rsidRDefault="00794B22" w:rsidP="00794B22">
      <w:pPr>
        <w:numPr>
          <w:ilvl w:val="0"/>
          <w:numId w:val="1"/>
        </w:numPr>
        <w:tabs>
          <w:tab w:val="num" w:pos="426"/>
        </w:tabs>
        <w:suppressAutoHyphens/>
        <w:spacing w:after="120" w:line="360" w:lineRule="auto"/>
        <w:rPr>
          <w:rFonts w:ascii="Arial" w:hAnsi="Arial"/>
          <w:sz w:val="24"/>
          <w:lang w:val="es-ES_tradnl"/>
        </w:rPr>
      </w:pPr>
      <w:r>
        <w:rPr>
          <w:rFonts w:ascii="Arial" w:hAnsi="Arial"/>
          <w:sz w:val="24"/>
          <w:lang w:val="es-ES_tradnl"/>
        </w:rPr>
        <w:t>Los costos de</w:t>
      </w:r>
      <w:r w:rsidR="00785BE5">
        <w:rPr>
          <w:rFonts w:ascii="Arial" w:hAnsi="Arial"/>
          <w:sz w:val="24"/>
          <w:lang w:val="es-ES_tradnl"/>
        </w:rPr>
        <w:t xml:space="preserve"> la</w:t>
      </w:r>
      <w:r>
        <w:rPr>
          <w:rFonts w:ascii="Arial" w:hAnsi="Arial"/>
          <w:sz w:val="24"/>
          <w:lang w:val="es-ES_tradnl"/>
        </w:rPr>
        <w:t xml:space="preserve"> auditoría</w:t>
      </w:r>
      <w:r w:rsidR="00785BE5">
        <w:rPr>
          <w:rFonts w:ascii="Arial" w:hAnsi="Arial"/>
          <w:sz w:val="24"/>
          <w:lang w:val="es-ES_tradnl"/>
        </w:rPr>
        <w:t>.</w:t>
      </w:r>
    </w:p>
    <w:p w:rsidR="00794B22" w:rsidRDefault="00794B22" w:rsidP="00794B22">
      <w:pPr>
        <w:pStyle w:val="Sangra2detindependiente"/>
        <w:spacing w:line="360" w:lineRule="auto"/>
      </w:pPr>
      <w:r>
        <w:t>De aceptar los términos expuestos, se solicita devolv</w:t>
      </w:r>
      <w:r w:rsidR="003A7DA1">
        <w:t>er una vía de l</w:t>
      </w:r>
      <w:r>
        <w:t>a referida Carta Compromiso firma</w:t>
      </w:r>
      <w:r w:rsidR="00274325">
        <w:t>da por Ud.</w:t>
      </w:r>
      <w:r>
        <w:t xml:space="preserve"> o </w:t>
      </w:r>
      <w:r w:rsidR="00274325">
        <w:t>por</w:t>
      </w:r>
      <w:r>
        <w:t xml:space="preserve"> otra persona habilitada para representar al </w:t>
      </w:r>
      <w:r w:rsidR="00341E86">
        <w:t>O</w:t>
      </w:r>
      <w:r>
        <w:t xml:space="preserve">rganismo. </w:t>
      </w:r>
    </w:p>
    <w:p w:rsidR="009615F5" w:rsidRDefault="00A854CA" w:rsidP="009615F5">
      <w:pPr>
        <w:tabs>
          <w:tab w:val="left" w:pos="-720"/>
        </w:tabs>
        <w:suppressAutoHyphens/>
        <w:spacing w:line="360" w:lineRule="auto"/>
        <w:ind w:firstLine="720"/>
        <w:jc w:val="right"/>
        <w:rPr>
          <w:rFonts w:ascii="Arial" w:hAnsi="Arial"/>
          <w:sz w:val="24"/>
          <w:lang w:val="es-ES_tradnl"/>
        </w:rPr>
      </w:pPr>
      <w:r>
        <w:rPr>
          <w:rFonts w:ascii="Arial" w:hAnsi="Arial"/>
          <w:sz w:val="24"/>
          <w:lang w:val="es-ES_tradnl"/>
        </w:rPr>
        <w:t>Saludamos a Usted atentamente</w:t>
      </w:r>
    </w:p>
    <w:p w:rsidR="00A854CA" w:rsidRDefault="00A854CA" w:rsidP="009615F5">
      <w:pPr>
        <w:tabs>
          <w:tab w:val="left" w:pos="-720"/>
        </w:tabs>
        <w:suppressAutoHyphens/>
        <w:spacing w:line="360" w:lineRule="auto"/>
        <w:ind w:firstLine="720"/>
        <w:jc w:val="right"/>
        <w:rPr>
          <w:rFonts w:ascii="Arial" w:hAnsi="Arial"/>
          <w:sz w:val="24"/>
          <w:lang w:val="es-ES_tradnl"/>
        </w:rPr>
      </w:pPr>
    </w:p>
    <w:p w:rsidR="009615F5" w:rsidRDefault="009615F5" w:rsidP="009615F5">
      <w:pPr>
        <w:tabs>
          <w:tab w:val="left" w:pos="-720"/>
        </w:tabs>
        <w:suppressAutoHyphens/>
        <w:spacing w:line="360" w:lineRule="auto"/>
        <w:ind w:firstLine="720"/>
        <w:jc w:val="right"/>
        <w:rPr>
          <w:rFonts w:ascii="Arial" w:hAnsi="Arial"/>
          <w:sz w:val="24"/>
          <w:lang w:val="es-ES_tradnl"/>
        </w:rPr>
      </w:pPr>
    </w:p>
    <w:p w:rsidR="00A16744" w:rsidRDefault="00A16744" w:rsidP="00AA06FC">
      <w:pPr>
        <w:tabs>
          <w:tab w:val="left" w:pos="-720"/>
        </w:tabs>
        <w:suppressAutoHyphens/>
        <w:spacing w:after="120" w:line="360" w:lineRule="auto"/>
        <w:jc w:val="center"/>
        <w:rPr>
          <w:rFonts w:ascii="Arial" w:hAnsi="Arial"/>
          <w:b/>
          <w:spacing w:val="-3"/>
          <w:sz w:val="24"/>
          <w:lang w:val="es-ES_tradnl"/>
        </w:rPr>
      </w:pPr>
      <w:r>
        <w:rPr>
          <w:rFonts w:ascii="Arial" w:hAnsi="Arial"/>
          <w:b/>
          <w:spacing w:val="-3"/>
          <w:sz w:val="24"/>
          <w:lang w:val="es-ES_tradnl"/>
        </w:rPr>
        <w:t>CARTA COMPROMISO</w:t>
      </w:r>
    </w:p>
    <w:p w:rsidR="00A16744" w:rsidRDefault="00A16744" w:rsidP="009E5758">
      <w:pPr>
        <w:tabs>
          <w:tab w:val="left" w:pos="-720"/>
        </w:tabs>
        <w:suppressAutoHyphens/>
        <w:spacing w:after="120" w:line="360" w:lineRule="auto"/>
        <w:ind w:firstLine="720"/>
        <w:jc w:val="both"/>
        <w:rPr>
          <w:rFonts w:ascii="Arial" w:hAnsi="Arial"/>
          <w:spacing w:val="-3"/>
          <w:sz w:val="24"/>
          <w:lang w:val="es-ES_tradnl"/>
        </w:rPr>
      </w:pPr>
      <w:r>
        <w:rPr>
          <w:rFonts w:ascii="Arial" w:hAnsi="Arial"/>
          <w:spacing w:val="-3"/>
          <w:sz w:val="24"/>
          <w:lang w:val="es-ES_tradnl"/>
        </w:rPr>
        <w:t xml:space="preserve">El propósito de esta Carta Compromiso es confirmar nuestro entendimiento del encargo y la naturaleza de los servicios a prestar al Ministerio de Transporte y Obras Públicas por la auditoría de los estados financieros del  </w:t>
      </w:r>
      <w:r>
        <w:rPr>
          <w:rFonts w:ascii="Arial" w:hAnsi="Arial"/>
          <w:sz w:val="24"/>
          <w:lang w:val="es-ES_tradnl"/>
        </w:rPr>
        <w:t xml:space="preserve"> “Programa de Rehabilitación y Mantenimiento Vial”,</w:t>
      </w:r>
      <w:r>
        <w:rPr>
          <w:rFonts w:ascii="Arial" w:hAnsi="Arial"/>
          <w:sz w:val="24"/>
          <w:lang w:val="es-MX"/>
        </w:rPr>
        <w:t xml:space="preserve"> </w:t>
      </w:r>
      <w:r>
        <w:rPr>
          <w:rFonts w:ascii="Arial" w:hAnsi="Arial"/>
          <w:spacing w:val="-3"/>
          <w:sz w:val="24"/>
          <w:lang w:val="es-ES_tradnl"/>
        </w:rPr>
        <w:t xml:space="preserve">financiado parcialmente con recursos del </w:t>
      </w:r>
      <w:r>
        <w:rPr>
          <w:rFonts w:ascii="Arial" w:hAnsi="Arial" w:cs="Arial"/>
          <w:spacing w:val="-3"/>
          <w:sz w:val="24"/>
          <w:lang w:val="es-ES_tradnl"/>
        </w:rPr>
        <w:t>Contrato de Préstamo N° 8205-UY</w:t>
      </w:r>
      <w:r>
        <w:rPr>
          <w:rFonts w:ascii="Arial" w:hAnsi="Arial"/>
          <w:spacing w:val="-3"/>
          <w:sz w:val="24"/>
          <w:lang w:val="es-ES_tradnl"/>
        </w:rPr>
        <w:t xml:space="preserve"> durante el período de su ejecución.</w:t>
      </w:r>
    </w:p>
    <w:p w:rsidR="00A16744" w:rsidRDefault="00A16744" w:rsidP="009E5758">
      <w:pPr>
        <w:tabs>
          <w:tab w:val="left" w:pos="-720"/>
        </w:tabs>
        <w:suppressAutoHyphens/>
        <w:spacing w:after="120" w:line="360" w:lineRule="auto"/>
        <w:ind w:firstLine="720"/>
        <w:jc w:val="both"/>
        <w:rPr>
          <w:rFonts w:ascii="Arial" w:hAnsi="Arial"/>
          <w:spacing w:val="-3"/>
          <w:sz w:val="24"/>
          <w:lang w:val="es-ES_tradnl"/>
        </w:rPr>
      </w:pPr>
      <w:r>
        <w:rPr>
          <w:rFonts w:ascii="Arial" w:hAnsi="Arial"/>
          <w:spacing w:val="-3"/>
          <w:sz w:val="24"/>
          <w:lang w:val="es-ES_tradnl"/>
        </w:rPr>
        <w:t>La función del Tribunal de Cuentas como Auditor del Proyecto es la de informar al Organismo Ejecutor la opinión sobre:</w:t>
      </w:r>
    </w:p>
    <w:p w:rsidR="00A16744" w:rsidRDefault="00A16744" w:rsidP="009E5758">
      <w:pPr>
        <w:tabs>
          <w:tab w:val="left" w:pos="-720"/>
        </w:tabs>
        <w:suppressAutoHyphens/>
        <w:spacing w:line="360" w:lineRule="auto"/>
        <w:jc w:val="both"/>
        <w:rPr>
          <w:rFonts w:ascii="Arial" w:hAnsi="Arial"/>
          <w:spacing w:val="-3"/>
          <w:sz w:val="24"/>
          <w:lang w:val="es-ES_tradnl"/>
        </w:rPr>
      </w:pPr>
      <w:r>
        <w:rPr>
          <w:rFonts w:ascii="Arial" w:hAnsi="Arial"/>
          <w:b/>
          <w:spacing w:val="-3"/>
          <w:sz w:val="24"/>
          <w:lang w:val="es-ES_tradnl"/>
        </w:rPr>
        <w:t>I</w:t>
      </w:r>
      <w:r>
        <w:rPr>
          <w:rFonts w:ascii="Arial" w:hAnsi="Arial"/>
          <w:spacing w:val="-3"/>
          <w:sz w:val="24"/>
          <w:lang w:val="es-ES_tradnl"/>
        </w:rPr>
        <w:t xml:space="preserve"> – Los estados financieros del Proyecto que, de acuerdo con lo establecido por el Banco Mundial, están constituidos por la Rendición de Cuentas Anual (RCA) del Gobierno Central -la que será preparada y remitida por la Contaduría General de la Nación- acompañada de un Anexo en el que se detallen los recursos y gastos de los proyectos relacionados con el Programa (Proyectos 750, 752, 855, 908 y 754), el que será preparado por el MTOP y el MEF.</w:t>
      </w:r>
    </w:p>
    <w:p w:rsidR="00A16744" w:rsidRDefault="00A16744" w:rsidP="009E5758">
      <w:pPr>
        <w:tabs>
          <w:tab w:val="left" w:pos="-720"/>
        </w:tabs>
        <w:suppressAutoHyphens/>
        <w:spacing w:line="360" w:lineRule="auto"/>
        <w:jc w:val="both"/>
        <w:rPr>
          <w:rFonts w:ascii="Arial" w:hAnsi="Arial"/>
          <w:spacing w:val="-3"/>
          <w:sz w:val="24"/>
          <w:lang w:val="es-ES_tradnl"/>
        </w:rPr>
      </w:pPr>
      <w:r>
        <w:rPr>
          <w:rFonts w:ascii="Arial" w:hAnsi="Arial"/>
          <w:b/>
          <w:spacing w:val="-3"/>
          <w:sz w:val="24"/>
          <w:lang w:val="es-ES_tradnl"/>
        </w:rPr>
        <w:t>II</w:t>
      </w:r>
      <w:r>
        <w:rPr>
          <w:rFonts w:ascii="Arial" w:hAnsi="Arial"/>
          <w:spacing w:val="-3"/>
          <w:sz w:val="24"/>
          <w:lang w:val="es-ES_tradnl"/>
        </w:rPr>
        <w:t xml:space="preserve"> - El cumplimiento dado por el Ministerio de Transporte y Obras Públicas a las normas antifraude y corrupción establecidas por el Banco Mundial, aplicables a </w:t>
      </w:r>
      <w:r>
        <w:rPr>
          <w:rFonts w:ascii="Arial" w:hAnsi="Arial"/>
          <w:spacing w:val="-3"/>
          <w:sz w:val="24"/>
          <w:lang w:val="es-ES_tradnl"/>
        </w:rPr>
        <w:lastRenderedPageBreak/>
        <w:t xml:space="preserve">los Contratos incluidos en este Programa. </w:t>
      </w:r>
    </w:p>
    <w:p w:rsidR="00A16744" w:rsidRDefault="00A16744" w:rsidP="009E5758">
      <w:pPr>
        <w:tabs>
          <w:tab w:val="left" w:pos="-720"/>
        </w:tabs>
        <w:suppressAutoHyphens/>
        <w:spacing w:line="360" w:lineRule="auto"/>
        <w:jc w:val="both"/>
        <w:rPr>
          <w:rFonts w:ascii="Arial" w:hAnsi="Arial"/>
          <w:spacing w:val="-3"/>
          <w:sz w:val="24"/>
          <w:lang w:val="es-ES_tradnl"/>
        </w:rPr>
      </w:pPr>
      <w:r>
        <w:rPr>
          <w:rFonts w:ascii="Arial" w:hAnsi="Arial"/>
          <w:spacing w:val="-3"/>
          <w:sz w:val="24"/>
          <w:lang w:val="es-ES_tradnl"/>
        </w:rPr>
        <w:tab/>
        <w:t>La auditoría se realizará de acuerdo con las Normas Internacionales de Entidades Fiscalizadoras Superiores (ISSAI) y las Normas de Auditoría Independiente emitidas por el Banco Mundial.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los estados financieros, y se evaluarán tanto las normas contables utilizadas y las estimaciones significativas efectuadas, como la presentación de los estados financieros en su conjunto. Una vez finalizada la auditoría, se emitirá un Dictamen sobre la forma y contenido de los estados financieros del Programa (EFP)</w:t>
      </w:r>
      <w:r>
        <w:rPr>
          <w:rFonts w:ascii="Arial" w:hAnsi="Arial"/>
          <w:b/>
          <w:bCs/>
          <w:spacing w:val="-3"/>
          <w:sz w:val="24"/>
          <w:lang w:val="es-ES_tradnl"/>
        </w:rPr>
        <w:t xml:space="preserve"> </w:t>
      </w:r>
      <w:r>
        <w:rPr>
          <w:rFonts w:ascii="Arial" w:hAnsi="Arial"/>
          <w:spacing w:val="-3"/>
          <w:sz w:val="24"/>
          <w:lang w:val="es-ES_tradnl"/>
        </w:rPr>
        <w:t>y sobre el cumplimiento de las normas antifraude y corrupción establecidas por el Banco Mundial.</w:t>
      </w:r>
    </w:p>
    <w:p w:rsidR="00A16744" w:rsidRDefault="00A16744" w:rsidP="009E5758">
      <w:pPr>
        <w:pStyle w:val="Sangra2detindependiente"/>
        <w:spacing w:after="120" w:line="360" w:lineRule="auto"/>
        <w:rPr>
          <w:rFonts w:cs="Arial"/>
          <w:lang w:val="es-ES"/>
        </w:rPr>
      </w:pPr>
      <w:r>
        <w:rPr>
          <w:rFonts w:cs="Arial"/>
          <w:lang w:val="es-ES"/>
        </w:rPr>
        <w:t>Cualquier reserva o salvedad que se tenga sobre la forma o contenido de los estados financieros, o sobre el cumplimiento de las normas del Banco Mundial, será informada con la debida antelación, para evitar en lo posible, cualquier manifestación adversa en nuestras opiniones.</w:t>
      </w:r>
    </w:p>
    <w:p w:rsidR="00A16744" w:rsidRDefault="00A16744" w:rsidP="009E5758">
      <w:pPr>
        <w:tabs>
          <w:tab w:val="left" w:pos="-720"/>
        </w:tabs>
        <w:suppressAutoHyphens/>
        <w:spacing w:after="120" w:line="360" w:lineRule="auto"/>
        <w:ind w:firstLine="720"/>
        <w:jc w:val="both"/>
        <w:rPr>
          <w:rFonts w:ascii="Arial" w:hAnsi="Arial"/>
          <w:spacing w:val="-3"/>
          <w:sz w:val="24"/>
          <w:lang w:val="es-ES_tradnl"/>
        </w:rPr>
      </w:pPr>
      <w:r>
        <w:rPr>
          <w:rFonts w:ascii="Arial" w:hAnsi="Arial"/>
          <w:spacing w:val="-3"/>
          <w:sz w:val="24"/>
          <w:lang w:val="es-ES_tradnl"/>
        </w:rPr>
        <w:t xml:space="preserve">La responsabilidad del Tribunal de Cuentas es expresar una opinión sobre los estados financieros del Programa. El Prestatario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Pr>
          <w:rFonts w:ascii="Arial" w:hAnsi="Arial"/>
          <w:spacing w:val="-3"/>
          <w:sz w:val="24"/>
          <w:lang w:val="es-ES_tradnl"/>
        </w:rPr>
        <w:t>hayan</w:t>
      </w:r>
      <w:proofErr w:type="gramEnd"/>
      <w:r>
        <w:rPr>
          <w:rFonts w:ascii="Arial" w:hAnsi="Arial"/>
          <w:spacing w:val="-3"/>
          <w:sz w:val="24"/>
          <w:lang w:val="es-ES_tradnl"/>
        </w:rPr>
        <w:t xml:space="preserve"> desviaciones provenientes de irregularidades o errores en los estados financieros.</w:t>
      </w:r>
    </w:p>
    <w:p w:rsidR="00A16744" w:rsidRDefault="00A16744" w:rsidP="009E5758">
      <w:pPr>
        <w:tabs>
          <w:tab w:val="left" w:pos="-720"/>
        </w:tabs>
        <w:suppressAutoHyphens/>
        <w:spacing w:after="120" w:line="360" w:lineRule="auto"/>
        <w:ind w:firstLine="720"/>
        <w:jc w:val="both"/>
        <w:rPr>
          <w:rFonts w:ascii="Arial" w:hAnsi="Arial"/>
          <w:spacing w:val="-3"/>
          <w:sz w:val="24"/>
          <w:lang w:val="es-ES_tradnl"/>
        </w:rPr>
      </w:pPr>
      <w:r>
        <w:rPr>
          <w:rFonts w:ascii="Arial" w:hAnsi="Arial"/>
          <w:spacing w:val="-3"/>
          <w:sz w:val="24"/>
          <w:lang w:val="es-ES_tradnl"/>
        </w:rPr>
        <w:t>Durante la planeación y ejecución de la auditoría se considerará el control interno, no para brindar certeza sobre el mismo, sino a efectos de determinar los procedimientos de auditoría a aplicar y poder dar una opinión sobre los estados financieros.</w:t>
      </w:r>
    </w:p>
    <w:p w:rsidR="00A16744" w:rsidRDefault="00A16744" w:rsidP="009E5758">
      <w:pPr>
        <w:tabs>
          <w:tab w:val="left" w:pos="-720"/>
        </w:tabs>
        <w:suppressAutoHyphens/>
        <w:spacing w:after="120" w:line="360" w:lineRule="auto"/>
        <w:ind w:firstLine="720"/>
        <w:jc w:val="both"/>
        <w:rPr>
          <w:rFonts w:ascii="Arial" w:hAnsi="Arial"/>
          <w:spacing w:val="-3"/>
          <w:sz w:val="24"/>
          <w:lang w:val="es-ES_tradnl"/>
        </w:rPr>
      </w:pPr>
      <w:r>
        <w:rPr>
          <w:rFonts w:ascii="Arial" w:hAnsi="Arial"/>
          <w:spacing w:val="-3"/>
          <w:sz w:val="24"/>
          <w:lang w:val="es-ES_tradnl"/>
        </w:rPr>
        <w:t>Entendemos que todos los registros, documentación e información necesaria para realizar la auditoría serán puestos a nuestra disposición. En aquellos casos en que no se disponga de documentación original se arbitrarán los mecanismos para permitir al Tribunal de Cuentas acceder a dicha documentación. En particular se nos entregarán los estados financieros del Proyecto  y su documentación de respaldo antes del 31 de julio de cada año durante la vigencia del Contrato de Préstamo. Asimismo se facilitarán todos los recursos materiales necesarios para el desarrollo de la auditoría, incluyendo áreas reservadas de trabajo para nuestros funcionarios.</w:t>
      </w:r>
    </w:p>
    <w:p w:rsidR="00A16744" w:rsidRDefault="00A16744" w:rsidP="009E5758">
      <w:pPr>
        <w:pStyle w:val="Sangra2detindependiente"/>
        <w:spacing w:after="120" w:line="360" w:lineRule="auto"/>
        <w:rPr>
          <w:spacing w:val="-3"/>
        </w:rPr>
      </w:pPr>
      <w:r>
        <w:rPr>
          <w:spacing w:val="-3"/>
        </w:rPr>
        <w:t>El costo por los servicios de auditoría es de U.I. 61.000 (Unidades Indexadas sesenta y un mil), 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A16744" w:rsidRDefault="00A16744" w:rsidP="009E5758">
      <w:pPr>
        <w:tabs>
          <w:tab w:val="left" w:pos="-720"/>
        </w:tabs>
        <w:suppressAutoHyphens/>
        <w:spacing w:after="120" w:line="360" w:lineRule="auto"/>
        <w:ind w:firstLine="720"/>
        <w:jc w:val="both"/>
        <w:rPr>
          <w:rFonts w:ascii="Arial" w:hAnsi="Arial"/>
          <w:spacing w:val="-3"/>
          <w:sz w:val="24"/>
          <w:lang w:val="es-ES_tradnl"/>
        </w:rPr>
      </w:pPr>
      <w:r>
        <w:rPr>
          <w:rFonts w:ascii="Arial" w:hAnsi="Arial"/>
          <w:spacing w:val="-3"/>
          <w:sz w:val="24"/>
          <w:lang w:val="es-ES_tradnl"/>
        </w:rPr>
        <w:t>Agradecemos se nos confirme la aceptación de nuestra propuesta, firmando y devolviendo la copia adjunta.</w:t>
      </w:r>
    </w:p>
    <w:p w:rsidR="00A16744" w:rsidRDefault="00A16744">
      <w:pPr>
        <w:rPr>
          <w:lang w:val="es-ES_tradnl"/>
        </w:rPr>
      </w:pPr>
    </w:p>
    <w:p w:rsidR="003208D9" w:rsidRPr="00A854CA" w:rsidRDefault="00A16744">
      <w:pPr>
        <w:rPr>
          <w:rFonts w:ascii="Arial" w:hAnsi="Arial"/>
          <w:spacing w:val="-3"/>
          <w:sz w:val="24"/>
          <w:lang w:val="es-ES_tradnl"/>
        </w:rPr>
      </w:pPr>
      <w:proofErr w:type="spellStart"/>
      <w:proofErr w:type="gramStart"/>
      <w:r w:rsidRPr="00F716A0">
        <w:rPr>
          <w:rFonts w:ascii="Arial" w:hAnsi="Arial" w:cs="Arial"/>
          <w:sz w:val="24"/>
          <w:szCs w:val="24"/>
          <w:lang w:val="es-ES_tradnl"/>
        </w:rPr>
        <w:t>cr</w:t>
      </w:r>
      <w:proofErr w:type="spellEnd"/>
      <w:proofErr w:type="gramEnd"/>
    </w:p>
    <w:sectPr w:rsidR="003208D9" w:rsidRPr="00A854CA" w:rsidSect="009615F5">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22"/>
    <w:rsid w:val="00084436"/>
    <w:rsid w:val="00263A4A"/>
    <w:rsid w:val="00274325"/>
    <w:rsid w:val="003208D9"/>
    <w:rsid w:val="00341E86"/>
    <w:rsid w:val="003A7DA1"/>
    <w:rsid w:val="00542052"/>
    <w:rsid w:val="00785BE5"/>
    <w:rsid w:val="00794B22"/>
    <w:rsid w:val="009615F5"/>
    <w:rsid w:val="00A16744"/>
    <w:rsid w:val="00A854CA"/>
    <w:rsid w:val="00C913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22"/>
    <w:pPr>
      <w:widowControl w:val="0"/>
      <w:spacing w:after="0" w:line="240" w:lineRule="auto"/>
    </w:pPr>
    <w:rPr>
      <w:rFonts w:ascii="Courier" w:eastAsia="Times New Roman" w:hAnsi="Courier" w:cs="Times New Roman"/>
      <w:snapToGrid w:val="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794B22"/>
    <w:pPr>
      <w:tabs>
        <w:tab w:val="left" w:pos="-720"/>
      </w:tabs>
      <w:suppressAutoHyphens/>
      <w:ind w:firstLine="720"/>
      <w:jc w:val="both"/>
    </w:pPr>
    <w:rPr>
      <w:rFonts w:ascii="Arial" w:hAnsi="Arial"/>
      <w:sz w:val="24"/>
      <w:lang w:val="es-ES_tradnl"/>
    </w:rPr>
  </w:style>
  <w:style w:type="character" w:customStyle="1" w:styleId="Sangra2detindependienteCar">
    <w:name w:val="Sangría 2 de t. independiente Car"/>
    <w:basedOn w:val="Fuentedeprrafopredeter"/>
    <w:link w:val="Sangra2detindependiente"/>
    <w:semiHidden/>
    <w:rsid w:val="00794B22"/>
    <w:rPr>
      <w:rFonts w:ascii="Arial" w:eastAsia="Times New Roman" w:hAnsi="Arial" w:cs="Times New Roman"/>
      <w:snapToGrid w:val="0"/>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22"/>
    <w:pPr>
      <w:widowControl w:val="0"/>
      <w:spacing w:after="0" w:line="240" w:lineRule="auto"/>
    </w:pPr>
    <w:rPr>
      <w:rFonts w:ascii="Courier" w:eastAsia="Times New Roman" w:hAnsi="Courier" w:cs="Times New Roman"/>
      <w:snapToGrid w:val="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794B22"/>
    <w:pPr>
      <w:tabs>
        <w:tab w:val="left" w:pos="-720"/>
      </w:tabs>
      <w:suppressAutoHyphens/>
      <w:ind w:firstLine="720"/>
      <w:jc w:val="both"/>
    </w:pPr>
    <w:rPr>
      <w:rFonts w:ascii="Arial" w:hAnsi="Arial"/>
      <w:sz w:val="24"/>
      <w:lang w:val="es-ES_tradnl"/>
    </w:rPr>
  </w:style>
  <w:style w:type="character" w:customStyle="1" w:styleId="Sangra2detindependienteCar">
    <w:name w:val="Sangría 2 de t. independiente Car"/>
    <w:basedOn w:val="Fuentedeprrafopredeter"/>
    <w:link w:val="Sangra2detindependiente"/>
    <w:semiHidden/>
    <w:rsid w:val="00794B22"/>
    <w:rPr>
      <w:rFonts w:ascii="Arial" w:eastAsia="Times New Roman" w:hAnsi="Arial" w:cs="Times New Roman"/>
      <w:snapToGrid w:val="0"/>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933</Words>
  <Characters>5135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 Susana lorenzo</dc:creator>
  <cp:lastModifiedBy> </cp:lastModifiedBy>
  <cp:revision>6</cp:revision>
  <cp:lastPrinted>2014-08-08T17:21:00Z</cp:lastPrinted>
  <dcterms:created xsi:type="dcterms:W3CDTF">2014-08-08T17:22:00Z</dcterms:created>
  <dcterms:modified xsi:type="dcterms:W3CDTF">2014-09-04T19:55:00Z</dcterms:modified>
</cp:coreProperties>
</file>