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A1" w:rsidRDefault="00DA07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A07A1" w:rsidRDefault="00DA07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07A1" w:rsidRDefault="00DA07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  <w:bookmarkStart w:id="0" w:name="_GoBack"/>
      <w:bookmarkEnd w:id="0"/>
    </w:p>
    <w:p w:rsidR="00DA07A1" w:rsidRDefault="00DA07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07A1" w:rsidRDefault="00DA07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 AGOSTO  DE 2014</w:t>
      </w:r>
    </w:p>
    <w:p w:rsidR="00DA07A1" w:rsidRDefault="00DA07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07A1" w:rsidRPr="00DA07A1" w:rsidRDefault="00DA07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DA07A1">
        <w:rPr>
          <w:rFonts w:ascii="Helvetica" w:hAnsi="Helvetica"/>
          <w:b/>
          <w:lang w:val="es-ES_tradnl"/>
        </w:rPr>
        <w:t xml:space="preserve">(E. E. Nº 2014-17-1-0004267, </w:t>
      </w:r>
      <w:proofErr w:type="spellStart"/>
      <w:r w:rsidRPr="00DA07A1">
        <w:rPr>
          <w:rFonts w:ascii="Helvetica" w:hAnsi="Helvetica"/>
          <w:b/>
          <w:lang w:val="es-ES_tradnl"/>
        </w:rPr>
        <w:t>Ent</w:t>
      </w:r>
      <w:proofErr w:type="spellEnd"/>
      <w:r w:rsidRPr="00DA07A1">
        <w:rPr>
          <w:rFonts w:ascii="Helvetica" w:hAnsi="Helvetica"/>
          <w:b/>
          <w:lang w:val="es-ES_tradnl"/>
        </w:rPr>
        <w:t xml:space="preserve">. N° </w:t>
      </w:r>
      <w:r>
        <w:rPr>
          <w:rFonts w:ascii="Helvetica" w:hAnsi="Helvetica"/>
          <w:b/>
          <w:lang w:val="es-ES_tradnl"/>
        </w:rPr>
        <w:t>4543/14</w:t>
      </w:r>
      <w:r w:rsidRPr="00DA07A1">
        <w:rPr>
          <w:rFonts w:ascii="Helvetica" w:hAnsi="Helvetica"/>
          <w:b/>
          <w:lang w:val="es-ES_tradnl"/>
        </w:rPr>
        <w:t>)</w:t>
      </w:r>
    </w:p>
    <w:p w:rsidR="00DA07A1" w:rsidRPr="00DA07A1" w:rsidRDefault="00DA07A1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DA07A1" w:rsidRPr="00DA07A1" w:rsidRDefault="00DA07A1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620A7C" w:rsidRPr="00620A7C" w:rsidRDefault="00620A7C" w:rsidP="00DA07A1">
      <w:pPr>
        <w:spacing w:line="360" w:lineRule="auto"/>
        <w:ind w:firstLine="851"/>
        <w:jc w:val="both"/>
        <w:rPr>
          <w:rFonts w:cs="Arial"/>
          <w:bCs/>
          <w:lang w:val="es-ES_tradnl"/>
        </w:rPr>
      </w:pPr>
      <w:r w:rsidRPr="00620A7C">
        <w:rPr>
          <w:b/>
          <w:lang w:val="es-UY"/>
        </w:rPr>
        <w:t>VISTO:</w:t>
      </w:r>
      <w:r w:rsidRPr="00620A7C">
        <w:rPr>
          <w:lang w:val="es-UY"/>
        </w:rPr>
        <w:t xml:space="preserve"> las </w:t>
      </w:r>
      <w:r>
        <w:rPr>
          <w:lang w:val="es-UY"/>
        </w:rPr>
        <w:t xml:space="preserve">nuevas </w:t>
      </w:r>
      <w:r w:rsidRPr="00620A7C">
        <w:rPr>
          <w:lang w:val="es-UY"/>
        </w:rPr>
        <w:t>actuaciones remitidas por</w:t>
      </w:r>
      <w:r>
        <w:rPr>
          <w:lang w:val="es-UY"/>
        </w:rPr>
        <w:t xml:space="preserve"> el</w:t>
      </w:r>
      <w:r w:rsidRPr="00620A7C">
        <w:rPr>
          <w:lang w:val="es-UY"/>
        </w:rPr>
        <w:t xml:space="preserve"> </w:t>
      </w:r>
      <w:r>
        <w:t>Ministerio de Economía y Finanzas -</w:t>
      </w:r>
      <w:r w:rsidR="00987556">
        <w:t xml:space="preserve"> </w:t>
      </w:r>
      <w:r>
        <w:t>Dirección General de Casinos</w:t>
      </w:r>
      <w:r w:rsidR="00987556">
        <w:t xml:space="preserve"> </w:t>
      </w:r>
      <w:r>
        <w:t xml:space="preserve">- </w:t>
      </w:r>
      <w:r>
        <w:rPr>
          <w:rFonts w:cs="Arial"/>
          <w:bCs/>
        </w:rPr>
        <w:t>relacionadas con la Licitación Pública 21/12 cuyo objeto es el arrendamiento de un local para depósito de dicha Dirección</w:t>
      </w:r>
      <w:r w:rsidRPr="00620A7C">
        <w:rPr>
          <w:rFonts w:cs="Arial"/>
          <w:lang w:val="es-ES_tradnl"/>
        </w:rPr>
        <w:t>;</w:t>
      </w:r>
      <w:r w:rsidRPr="00620A7C">
        <w:rPr>
          <w:rFonts w:cs="Arial"/>
          <w:b/>
          <w:u w:val="single"/>
          <w:lang w:val="es-ES_tradnl"/>
        </w:rPr>
        <w:t xml:space="preserve">  </w:t>
      </w:r>
    </w:p>
    <w:p w:rsidR="00620A7C" w:rsidRPr="00620A7C" w:rsidRDefault="00620A7C" w:rsidP="00DA07A1">
      <w:pPr>
        <w:spacing w:line="360" w:lineRule="auto"/>
        <w:ind w:firstLine="851"/>
        <w:jc w:val="both"/>
        <w:rPr>
          <w:rFonts w:cs="Arial"/>
          <w:bCs/>
          <w:u w:val="single"/>
        </w:rPr>
      </w:pPr>
      <w:r w:rsidRPr="00620A7C">
        <w:rPr>
          <w:rFonts w:cs="Arial"/>
          <w:b/>
          <w:bCs/>
          <w:color w:val="000000"/>
          <w:szCs w:val="20"/>
          <w:lang w:val="es-ES_tradnl"/>
        </w:rPr>
        <w:t>RESULTANDO</w:t>
      </w:r>
      <w:r w:rsidRPr="00DA07A1">
        <w:rPr>
          <w:rFonts w:cs="Arial"/>
          <w:b/>
          <w:bCs/>
          <w:color w:val="000000"/>
          <w:szCs w:val="20"/>
          <w:lang w:val="es-ES_tradnl"/>
        </w:rPr>
        <w:t>:</w:t>
      </w:r>
      <w:r w:rsidRPr="00620A7C">
        <w:rPr>
          <w:rFonts w:cs="Arial"/>
          <w:bCs/>
          <w:color w:val="000000"/>
          <w:szCs w:val="20"/>
          <w:lang w:val="es-ES_tradnl"/>
        </w:rPr>
        <w:t xml:space="preserve"> </w:t>
      </w:r>
      <w:r w:rsidRPr="00620A7C">
        <w:rPr>
          <w:rFonts w:cs="Arial"/>
          <w:b/>
          <w:bCs/>
          <w:color w:val="000000"/>
          <w:szCs w:val="20"/>
          <w:lang w:val="es-ES_tradnl"/>
        </w:rPr>
        <w:t>1)</w:t>
      </w:r>
      <w:r w:rsidRPr="00620A7C">
        <w:rPr>
          <w:rFonts w:cs="Arial"/>
          <w:bCs/>
          <w:color w:val="000000"/>
          <w:szCs w:val="20"/>
          <w:lang w:val="es-ES_tradnl"/>
        </w:rPr>
        <w:t xml:space="preserve"> que </w:t>
      </w:r>
      <w:r w:rsidR="001A4B7E">
        <w:rPr>
          <w:rFonts w:cs="Arial"/>
          <w:bCs/>
        </w:rPr>
        <w:t>p</w:t>
      </w:r>
      <w:r>
        <w:rPr>
          <w:rFonts w:cs="Arial"/>
          <w:bCs/>
        </w:rPr>
        <w:t>or Resolución Nº 98/2013, de fecha 20 de marzo de 2013</w:t>
      </w:r>
      <w:r w:rsidR="001A4B7E">
        <w:rPr>
          <w:rFonts w:cs="Arial"/>
          <w:bCs/>
        </w:rPr>
        <w:t>,</w:t>
      </w:r>
      <w:r>
        <w:rPr>
          <w:rFonts w:cs="Arial"/>
          <w:bCs/>
        </w:rPr>
        <w:t xml:space="preserve"> la Dirección General de Casinos adjudicó la Contratación Directa derivada de la Licitación Pública Nº 13/12 a la firma</w:t>
      </w:r>
      <w:r w:rsidR="00AE4133">
        <w:rPr>
          <w:rFonts w:cs="Arial"/>
          <w:bCs/>
        </w:rPr>
        <w:t xml:space="preserve"> OLAM Ltda., tomando </w:t>
      </w:r>
      <w:r>
        <w:rPr>
          <w:rFonts w:cs="Arial"/>
          <w:bCs/>
        </w:rPr>
        <w:t xml:space="preserve">en arrendamiento el inmueble padrón Nº 39.159, sito en la calle General Hornos 5405 de la Ciudad de Montevideo, que consta de una superficie de </w:t>
      </w:r>
      <w:smartTag w:uri="urn:schemas-microsoft-com:office:smarttags" w:element="metricconverter">
        <w:smartTagPr>
          <w:attr w:name="ProductID" w:val="1.250 metros cuadrados"/>
        </w:smartTagPr>
        <w:r>
          <w:rPr>
            <w:rFonts w:cs="Arial"/>
            <w:bCs/>
          </w:rPr>
          <w:t>1.250 metros cuadrados</w:t>
        </w:r>
      </w:smartTag>
      <w:r>
        <w:rPr>
          <w:rFonts w:cs="Arial"/>
          <w:bCs/>
        </w:rPr>
        <w:t xml:space="preserve">, por un monto mensual de $ 70.000, total anual $ 840.000, por el período de 2 años a partir de la recepción de las obras comprometidas en la oferta, </w:t>
      </w:r>
      <w:r w:rsidR="001A4B7E">
        <w:rPr>
          <w:rFonts w:cs="Arial"/>
          <w:bCs/>
        </w:rPr>
        <w:t>prorrogable</w:t>
      </w:r>
      <w:r>
        <w:rPr>
          <w:rFonts w:cs="Arial"/>
          <w:bCs/>
        </w:rPr>
        <w:t xml:space="preserve"> hasta por dos períodos anuales más, a opción exclusiva de la </w:t>
      </w:r>
      <w:r w:rsidR="00AE4133">
        <w:rPr>
          <w:rFonts w:cs="Arial"/>
          <w:bCs/>
        </w:rPr>
        <w:t>Dirección General de Casinos, la que fuere</w:t>
      </w:r>
      <w:r>
        <w:rPr>
          <w:rFonts w:cs="Arial"/>
          <w:bCs/>
        </w:rPr>
        <w:t xml:space="preserve"> intervenida preventivamente por Contadora Delegada del Tribunal de Cuentas con fecha 30.4.2013, sujeto a existencia de crédito en ejercicios futuros</w:t>
      </w:r>
      <w:r w:rsidRPr="00620A7C">
        <w:rPr>
          <w:rFonts w:cs="Arial"/>
          <w:bCs/>
          <w:color w:val="000000"/>
          <w:szCs w:val="20"/>
          <w:lang w:val="es-ES_tradnl"/>
        </w:rPr>
        <w:t xml:space="preserve">;    </w:t>
      </w:r>
    </w:p>
    <w:p w:rsidR="00620A7C" w:rsidRDefault="00DA07A1" w:rsidP="00DA07A1">
      <w:pPr>
        <w:spacing w:line="360" w:lineRule="auto"/>
        <w:ind w:firstLine="2694"/>
        <w:jc w:val="both"/>
        <w:rPr>
          <w:rFonts w:cs="Arial"/>
          <w:bCs/>
          <w:color w:val="000000"/>
          <w:szCs w:val="20"/>
          <w:lang w:val="es-ES_tradnl"/>
        </w:rPr>
      </w:pPr>
      <w:r>
        <w:rPr>
          <w:rFonts w:cs="Arial"/>
          <w:b/>
          <w:bCs/>
          <w:color w:val="000000"/>
          <w:szCs w:val="20"/>
          <w:lang w:val="es-ES_tradnl"/>
        </w:rPr>
        <w:t xml:space="preserve"> </w:t>
      </w:r>
      <w:r w:rsidR="00620A7C" w:rsidRPr="00620A7C">
        <w:rPr>
          <w:rFonts w:cs="Arial"/>
          <w:b/>
          <w:bCs/>
          <w:color w:val="000000"/>
          <w:szCs w:val="20"/>
          <w:lang w:val="es-ES_tradnl"/>
        </w:rPr>
        <w:t>2)</w:t>
      </w:r>
      <w:r w:rsidR="00620A7C" w:rsidRPr="00620A7C">
        <w:rPr>
          <w:rFonts w:cs="Arial"/>
          <w:bCs/>
          <w:color w:val="000000"/>
          <w:szCs w:val="20"/>
          <w:lang w:val="es-ES_tradnl"/>
        </w:rPr>
        <w:t xml:space="preserve"> que </w:t>
      </w:r>
      <w:r w:rsidR="00620A7C">
        <w:t xml:space="preserve">consta Contrato de Arrendamiento de fecha 17.10.2013 suscrito  entre la empresa OLAM LTDA y el Ministerio de Economía y Finanzas – Dirección General de Casinos,  en el que se establece, en su </w:t>
      </w:r>
      <w:r w:rsidR="00620A7C" w:rsidRPr="00B26B07">
        <w:t>Cláusula Segunda</w:t>
      </w:r>
      <w:r w:rsidR="00620A7C">
        <w:t xml:space="preserve"> que el inmueble a arrendar consta de una superficie de </w:t>
      </w:r>
      <w:smartTag w:uri="urn:schemas-microsoft-com:office:smarttags" w:element="metricconverter">
        <w:smartTagPr>
          <w:attr w:name="ProductID" w:val="1081 metros"/>
        </w:smartTagPr>
        <w:r w:rsidR="00620A7C">
          <w:t>1081 metros</w:t>
        </w:r>
      </w:smartTag>
      <w:r w:rsidR="00620A7C">
        <w:t>; que el plazo del contrato es de 2 años a partir de la fecha de suscripción, esto es, 17.2.2013</w:t>
      </w:r>
      <w:r w:rsidR="00100B4D">
        <w:t>,</w:t>
      </w:r>
      <w:r w:rsidR="00620A7C">
        <w:t xml:space="preserve"> y en su </w:t>
      </w:r>
      <w:r w:rsidR="00620A7C" w:rsidRPr="00B26B07">
        <w:t>Cláusula Cuarta</w:t>
      </w:r>
      <w:r w:rsidR="00620A7C">
        <w:t xml:space="preserve"> que el precio mensual del mismo asciende a la suma de $</w:t>
      </w:r>
      <w:r>
        <w:t xml:space="preserve"> </w:t>
      </w:r>
      <w:r w:rsidR="00620A7C">
        <w:t>60.000, a abonarse mediante crédito SIIF</w:t>
      </w:r>
      <w:r w:rsidR="00620A7C" w:rsidRPr="00620A7C">
        <w:rPr>
          <w:rFonts w:cs="Arial"/>
          <w:bCs/>
          <w:color w:val="000000"/>
          <w:szCs w:val="20"/>
          <w:lang w:val="es-ES_tradnl"/>
        </w:rPr>
        <w:t>;</w:t>
      </w:r>
    </w:p>
    <w:p w:rsidR="00AE4133" w:rsidRDefault="00AE4133" w:rsidP="00DA07A1">
      <w:pPr>
        <w:spacing w:line="360" w:lineRule="auto"/>
        <w:ind w:firstLine="2835"/>
        <w:jc w:val="both"/>
      </w:pPr>
      <w:r w:rsidRPr="00AE4133">
        <w:rPr>
          <w:rFonts w:cs="Arial"/>
          <w:b/>
          <w:bCs/>
          <w:color w:val="000000"/>
          <w:szCs w:val="20"/>
          <w:lang w:val="es-ES_tradnl"/>
        </w:rPr>
        <w:t>3)</w:t>
      </w:r>
      <w:r>
        <w:rPr>
          <w:rFonts w:cs="Arial"/>
          <w:bCs/>
          <w:color w:val="000000"/>
          <w:szCs w:val="20"/>
          <w:lang w:val="es-ES_tradnl"/>
        </w:rPr>
        <w:t xml:space="preserve"> que se adjunta </w:t>
      </w:r>
      <w:r>
        <w:t xml:space="preserve">memorando del Departamento de Servicios Generales dirigido al Área de Administración General, por el cual se comunica que el nuevo local de depósito sito en la Calle General Hornos </w:t>
      </w:r>
      <w:smartTag w:uri="urn:schemas-microsoft-com:office:smarttags" w:element="metricconverter">
        <w:smartTagPr>
          <w:attr w:name="ProductID" w:val="5405 ha"/>
        </w:smartTagPr>
        <w:r>
          <w:t>5405 ha</w:t>
        </w:r>
      </w:smartTag>
      <w:r>
        <w:t xml:space="preserve"> sufrido importante ingreso de agua, consecuencia de episodios </w:t>
      </w:r>
      <w:r>
        <w:lastRenderedPageBreak/>
        <w:t>pluviométricos. Se considera necesario reconsiderar la evaluación edilicia del mismo, principalmente como uso del local para el destino determinado;</w:t>
      </w:r>
    </w:p>
    <w:p w:rsidR="00620A7C" w:rsidRPr="00620A7C" w:rsidRDefault="00AE4133" w:rsidP="00DA07A1">
      <w:pPr>
        <w:spacing w:line="360" w:lineRule="auto"/>
        <w:ind w:firstLine="2835"/>
        <w:jc w:val="both"/>
        <w:rPr>
          <w:bCs/>
          <w:lang w:val="es-UY"/>
        </w:rPr>
      </w:pPr>
      <w:r>
        <w:rPr>
          <w:b/>
          <w:lang w:val="es-UY"/>
        </w:rPr>
        <w:t>4</w:t>
      </w:r>
      <w:r w:rsidR="00620A7C" w:rsidRPr="00620A7C">
        <w:rPr>
          <w:b/>
          <w:lang w:val="es-UY"/>
        </w:rPr>
        <w:t>)</w:t>
      </w:r>
      <w:r w:rsidR="00620A7C" w:rsidRPr="00620A7C">
        <w:rPr>
          <w:bCs/>
          <w:lang w:val="es-UY"/>
        </w:rPr>
        <w:t xml:space="preserve"> que </w:t>
      </w:r>
      <w:r w:rsidR="00620A7C">
        <w:t>consta nota de la Unidad notarial, gestionando la sustitución de las áreas actualmente arrendadas según contrato de fecha 17.10.2013, la ampliación del metraje arrendado en un 100% y la ocupación en calidad de comodatario de otras áreas del mismo local y padrón</w:t>
      </w:r>
      <w:r w:rsidR="00620A7C" w:rsidRPr="00620A7C">
        <w:rPr>
          <w:bCs/>
          <w:lang w:val="es-UY"/>
        </w:rPr>
        <w:t>;</w:t>
      </w:r>
    </w:p>
    <w:p w:rsidR="00620A7C" w:rsidRDefault="00AE4133" w:rsidP="00DA07A1">
      <w:pPr>
        <w:spacing w:line="360" w:lineRule="auto"/>
        <w:ind w:firstLine="2835"/>
        <w:jc w:val="both"/>
        <w:rPr>
          <w:rFonts w:cs="Arial"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5</w:t>
      </w:r>
      <w:r w:rsidR="00620A7C" w:rsidRPr="00620A7C">
        <w:rPr>
          <w:rFonts w:cs="Arial"/>
          <w:b/>
          <w:bCs/>
          <w:color w:val="000000"/>
          <w:szCs w:val="20"/>
        </w:rPr>
        <w:t>)</w:t>
      </w:r>
      <w:r w:rsidR="00620A7C" w:rsidRPr="00620A7C">
        <w:rPr>
          <w:rFonts w:cs="Arial"/>
          <w:bCs/>
          <w:color w:val="000000"/>
          <w:szCs w:val="20"/>
        </w:rPr>
        <w:t xml:space="preserve"> que </w:t>
      </w:r>
      <w:r w:rsidR="00620A7C">
        <w:t xml:space="preserve">Consta Proyecto de Resolución, en el cual se autoriza a </w:t>
      </w:r>
      <w:smartTag w:uri="urn:schemas-microsoft-com:office:smarttags" w:element="metricconverter">
        <w:smartTagPr>
          <w:attr w:name="ProductID" w:val="1143.51 metros cuadrados"/>
        </w:smartTagPr>
        <w:r w:rsidR="00620A7C">
          <w:t>la Dirección General</w:t>
        </w:r>
      </w:smartTag>
      <w:r w:rsidR="00620A7C">
        <w:t xml:space="preserve"> de Casinos a suscribir la modificación proyectada al contrato de arrendamiento celebrado el 17 de octubre de 2013 con la empresa OLAM LTDA, ampliando la superficie en un 100%; así como autorizar al Director General de Casinos a tomar en comodato la superficie aproximada de </w:t>
      </w:r>
      <w:smartTag w:uri="urn:schemas-microsoft-com:office:smarttags" w:element="metricconverter">
        <w:smartTagPr>
          <w:attr w:name="ProductID" w:val="1143.51 metros cuadrados"/>
        </w:smartTagPr>
        <w:r w:rsidR="00620A7C">
          <w:t>985,51 metros</w:t>
        </w:r>
      </w:smartTag>
      <w:r w:rsidR="00620A7C">
        <w:t xml:space="preserve"> en el mismo padrón  y por el plazo de un año</w:t>
      </w:r>
      <w:r w:rsidR="00620A7C" w:rsidRPr="00620A7C">
        <w:rPr>
          <w:rFonts w:cs="Arial"/>
          <w:bCs/>
          <w:color w:val="000000"/>
          <w:szCs w:val="20"/>
        </w:rPr>
        <w:t xml:space="preserve">; </w:t>
      </w:r>
    </w:p>
    <w:p w:rsidR="00620A7C" w:rsidRDefault="00AE4133" w:rsidP="00DA07A1">
      <w:pPr>
        <w:spacing w:line="360" w:lineRule="auto"/>
        <w:ind w:firstLine="2835"/>
        <w:jc w:val="both"/>
      </w:pPr>
      <w:r>
        <w:rPr>
          <w:rFonts w:cs="Arial"/>
          <w:b/>
          <w:bCs/>
          <w:color w:val="000000"/>
          <w:szCs w:val="20"/>
        </w:rPr>
        <w:t>6</w:t>
      </w:r>
      <w:r w:rsidR="00620A7C" w:rsidRPr="00620A7C">
        <w:rPr>
          <w:rFonts w:cs="Arial"/>
          <w:b/>
          <w:bCs/>
          <w:color w:val="000000"/>
          <w:szCs w:val="20"/>
        </w:rPr>
        <w:t>)</w:t>
      </w:r>
      <w:r w:rsidR="00620A7C">
        <w:rPr>
          <w:rFonts w:cs="Arial"/>
          <w:bCs/>
          <w:color w:val="000000"/>
          <w:szCs w:val="20"/>
        </w:rPr>
        <w:t xml:space="preserve"> que, c</w:t>
      </w:r>
      <w:r w:rsidR="00620A7C">
        <w:t xml:space="preserve">on fecha 5.6.2014 este Tribunal </w:t>
      </w:r>
      <w:r w:rsidR="00987556">
        <w:t>devolvió</w:t>
      </w:r>
      <w:r w:rsidR="00620A7C">
        <w:t xml:space="preserve"> las actuaciones al Organismo actuante para mejor proveer, con el fin de que se remiti</w:t>
      </w:r>
      <w:r w:rsidR="00987556">
        <w:t>era</w:t>
      </w:r>
      <w:r w:rsidR="00620A7C">
        <w:t xml:space="preserve"> copia o proyecto de contrato de comodato a suscribir entre </w:t>
      </w:r>
      <w:r w:rsidR="002D380B">
        <w:t xml:space="preserve">el </w:t>
      </w:r>
      <w:r w:rsidR="00620A7C">
        <w:t xml:space="preserve">Ministerio de Economía y Finanzas -Dirección General de Casinos- y la empresa OLAM LTDA por el total de </w:t>
      </w:r>
      <w:smartTag w:uri="urn:schemas-microsoft-com:office:smarttags" w:element="metricconverter">
        <w:smartTagPr>
          <w:attr w:name="ProductID" w:val="11473,51 metros cuadrados"/>
        </w:smartTagPr>
        <w:r w:rsidR="00620A7C">
          <w:t>11473,51 metros</w:t>
        </w:r>
      </w:smartTag>
      <w:r w:rsidR="00620A7C">
        <w:t xml:space="preserve"> cuadrados;</w:t>
      </w:r>
    </w:p>
    <w:p w:rsidR="00500DAA" w:rsidRDefault="00AE4133" w:rsidP="00DA07A1">
      <w:pPr>
        <w:pStyle w:val="Prrafodelista"/>
        <w:spacing w:line="360" w:lineRule="auto"/>
        <w:ind w:left="0" w:firstLine="2835"/>
        <w:jc w:val="both"/>
      </w:pPr>
      <w:r>
        <w:rPr>
          <w:b/>
        </w:rPr>
        <w:t>7</w:t>
      </w:r>
      <w:r w:rsidR="00620A7C" w:rsidRPr="00620A7C">
        <w:rPr>
          <w:b/>
        </w:rPr>
        <w:t xml:space="preserve">) </w:t>
      </w:r>
      <w:r w:rsidR="00620A7C">
        <w:t xml:space="preserve">que consta </w:t>
      </w:r>
      <w:r w:rsidR="001A1E2D">
        <w:t>N</w:t>
      </w:r>
      <w:r w:rsidR="00620A7C">
        <w:t>ota de la Unidad notarial, gestionando la sustitución de las áreas actualmente arrendadas según contrato de fecha 17.10.2013, la ampliación del metraje arrendado en un 100% y la ocupación en calidad de comodatario de otras</w:t>
      </w:r>
      <w:r>
        <w:t xml:space="preserve"> áreas del mismo local y padrón</w:t>
      </w:r>
      <w:r w:rsidR="00500DAA">
        <w:t>;</w:t>
      </w:r>
    </w:p>
    <w:p w:rsidR="00500DAA" w:rsidRDefault="00AE4133" w:rsidP="00DA07A1">
      <w:pPr>
        <w:pStyle w:val="Prrafodelista"/>
        <w:spacing w:line="360" w:lineRule="auto"/>
        <w:ind w:left="0" w:firstLine="2835"/>
        <w:jc w:val="both"/>
      </w:pPr>
      <w:r>
        <w:rPr>
          <w:b/>
        </w:rPr>
        <w:t>8</w:t>
      </w:r>
      <w:r w:rsidR="00500DAA" w:rsidRPr="00500DAA">
        <w:rPr>
          <w:b/>
        </w:rPr>
        <w:t xml:space="preserve">) </w:t>
      </w:r>
      <w:r w:rsidR="00100B4D" w:rsidRPr="00100B4D">
        <w:t>que s</w:t>
      </w:r>
      <w:r w:rsidRPr="00100B4D">
        <w:t>urge</w:t>
      </w:r>
      <w:r>
        <w:t xml:space="preserve"> agregado</w:t>
      </w:r>
      <w:r w:rsidR="00500DAA">
        <w:t xml:space="preserve"> Proyecto </w:t>
      </w:r>
      <w:r w:rsidR="00100B4D">
        <w:t>de</w:t>
      </w:r>
      <w:r w:rsidR="00500DAA">
        <w:t xml:space="preserve"> “Modificación de Contrato de Arrendamiento y Rescisión de Contrato de Arrenda</w:t>
      </w:r>
      <w:r>
        <w:t>miento”, en la cual se acuerda m</w:t>
      </w:r>
      <w:r w:rsidR="00500DAA">
        <w:t xml:space="preserve">odificar el </w:t>
      </w:r>
      <w:r w:rsidR="001A1E2D">
        <w:t>N</w:t>
      </w:r>
      <w:r w:rsidR="00500DAA">
        <w:t>umeral Segundo, quedado redactado de la siguiente manera: “</w:t>
      </w:r>
      <w:r w:rsidR="00500DAA" w:rsidRPr="00B26B07">
        <w:t>Consentimiento – Objeto</w:t>
      </w:r>
      <w:r w:rsidR="00500DAA">
        <w:t xml:space="preserve">: la sociedad OLAM LTDA da en arriendo al </w:t>
      </w:r>
      <w:r w:rsidR="00B26B07">
        <w:t xml:space="preserve"> </w:t>
      </w:r>
      <w:r w:rsidR="00500DAA">
        <w:t xml:space="preserve">Ministerio de Economía y Finanzas -Dirección General de Casinos-, quien en tal concepto toma: el </w:t>
      </w:r>
      <w:r w:rsidR="00500DAA" w:rsidRPr="002469E6">
        <w:t>uso exclusivo</w:t>
      </w:r>
      <w:r w:rsidR="00500DAA">
        <w:t xml:space="preserve"> de </w:t>
      </w:r>
      <w:smartTag w:uri="urn:schemas-microsoft-com:office:smarttags" w:element="metricconverter">
        <w:smartTagPr>
          <w:attr w:name="ProductID" w:val="2.162 metros"/>
        </w:smartTagPr>
        <w:r w:rsidR="00500DAA">
          <w:t>2.162 metros</w:t>
        </w:r>
      </w:smartTag>
      <w:r w:rsidR="00500DAA">
        <w:t xml:space="preserve">, ubicados en planta baja y planta entrepisos, que forman parte del edificio construido en el inmueble empadronado con el Nº 39.159, con frente a la calle General Manuel Hornos 5405 y el </w:t>
      </w:r>
      <w:r w:rsidR="00500DAA" w:rsidRPr="002469E6">
        <w:t>uso común</w:t>
      </w:r>
      <w:r w:rsidR="00500DAA">
        <w:t xml:space="preserve"> de las áreas de ci</w:t>
      </w:r>
      <w:r>
        <w:t xml:space="preserve">rculación y acceso al edificio, </w:t>
      </w:r>
      <w:r w:rsidR="00DD4C62">
        <w:t>m</w:t>
      </w:r>
      <w:r w:rsidR="00500DAA">
        <w:t xml:space="preserve">odificar el precio pactado, estableciéndose que el precio mensual del mismo asciende a la suma de $ 120.000. Se agrega la </w:t>
      </w:r>
      <w:r w:rsidRPr="002469E6">
        <w:t>Cláusula</w:t>
      </w:r>
      <w:r w:rsidR="00500DAA" w:rsidRPr="002469E6">
        <w:t xml:space="preserve"> de Rescisión, en la cual se establece que las partes acuerdan rescindir el </w:t>
      </w:r>
      <w:r w:rsidR="00500DAA">
        <w:t xml:space="preserve">Contrato de Arrendamiento celebrado con fecha 17.10.2013, a partir de la entrega del </w:t>
      </w:r>
      <w:r w:rsidR="00500DAA">
        <w:lastRenderedPageBreak/>
        <w:t>local 190 SS a la propietaria, con plazo máximo de  60 días corridos a partir de la celebración de esta modificación;</w:t>
      </w:r>
    </w:p>
    <w:p w:rsidR="00620A7C" w:rsidRPr="00F679A7" w:rsidRDefault="00DA07A1" w:rsidP="00DA07A1">
      <w:pPr>
        <w:pStyle w:val="Prrafodelista"/>
        <w:spacing w:line="360" w:lineRule="auto"/>
        <w:ind w:left="0" w:firstLine="2835"/>
        <w:jc w:val="both"/>
      </w:pPr>
      <w:r>
        <w:rPr>
          <w:b/>
        </w:rPr>
        <w:t>9</w:t>
      </w:r>
      <w:r w:rsidR="00AE4133" w:rsidRPr="00AE4133">
        <w:rPr>
          <w:b/>
        </w:rPr>
        <w:t xml:space="preserve">) </w:t>
      </w:r>
      <w:r w:rsidR="00100B4D" w:rsidRPr="00100B4D">
        <w:t xml:space="preserve">que, se </w:t>
      </w:r>
      <w:r w:rsidR="00AE4133" w:rsidRPr="00100B4D">
        <w:t>adjunta</w:t>
      </w:r>
      <w:r w:rsidR="00AE4133">
        <w:t xml:space="preserve"> proyecto de Contrato de Comodato entre las mismas partes, por intermedio del cual la empresa OLA</w:t>
      </w:r>
      <w:r w:rsidR="00F679A7">
        <w:t>M MTDA da en comodato al Estado</w:t>
      </w:r>
      <w:r w:rsidR="00AE4133">
        <w:t xml:space="preserve">, quien a través del Ministerio de Economía y </w:t>
      </w:r>
      <w:r w:rsidR="0054591E">
        <w:t>F</w:t>
      </w:r>
      <w:r w:rsidR="00AE4133">
        <w:t>inanzas – Dirección General de Casinos</w:t>
      </w:r>
      <w:r w:rsidR="0054591E">
        <w:t>-</w:t>
      </w:r>
      <w:r w:rsidR="00AE4133">
        <w:t xml:space="preserve">, acepta el uso exclusivo de 1143, </w:t>
      </w:r>
      <w:smartTag w:uri="urn:schemas-microsoft-com:office:smarttags" w:element="metricconverter">
        <w:smartTagPr>
          <w:attr w:name="ProductID" w:val="51 metros"/>
        </w:smartTagPr>
        <w:r w:rsidR="00AE4133">
          <w:t>51 metros</w:t>
        </w:r>
      </w:smartTag>
      <w:r w:rsidR="00AE4133">
        <w:t xml:space="preserve"> del edificio construido en el inmueble empadronado con el Nº 39.159, sito en la calle General Manuel Hornos Nº 5405, cuyo destino es “para depósito y Área de trabajo” de </w:t>
      </w:r>
      <w:r w:rsidR="00100B4D">
        <w:t xml:space="preserve">la Dirección General de Casinos, por el </w:t>
      </w:r>
      <w:r w:rsidR="00AE4133">
        <w:t>plazo de 12 meses a contar desde la fecha de celebración simultánea de la Modificación del Contrato de Arrendam</w:t>
      </w:r>
      <w:r w:rsidR="00F679A7">
        <w:t>iento de 17.10.13 y de Comodato;</w:t>
      </w:r>
    </w:p>
    <w:p w:rsidR="00620A7C" w:rsidRPr="00620A7C" w:rsidRDefault="00620A7C" w:rsidP="00DA07A1">
      <w:pPr>
        <w:spacing w:line="360" w:lineRule="auto"/>
        <w:ind w:firstLine="851"/>
        <w:jc w:val="both"/>
        <w:rPr>
          <w:bCs/>
          <w:lang w:val="es-UY"/>
        </w:rPr>
      </w:pPr>
      <w:r w:rsidRPr="00620A7C">
        <w:rPr>
          <w:b/>
          <w:bCs/>
          <w:lang w:val="es-UY"/>
        </w:rPr>
        <w:t xml:space="preserve">CONSIDERANDO: 1) </w:t>
      </w:r>
      <w:r w:rsidRPr="00620A7C">
        <w:rPr>
          <w:bCs/>
          <w:lang w:val="es-UY"/>
        </w:rPr>
        <w:t>que</w:t>
      </w:r>
      <w:r w:rsidR="00100B4D">
        <w:rPr>
          <w:bCs/>
          <w:lang w:val="es-UY"/>
        </w:rPr>
        <w:t>,  el P</w:t>
      </w:r>
      <w:r w:rsidRPr="00620A7C">
        <w:rPr>
          <w:bCs/>
          <w:lang w:val="es-UY"/>
        </w:rPr>
        <w:t>liego</w:t>
      </w:r>
      <w:r w:rsidR="00100B4D">
        <w:rPr>
          <w:bCs/>
          <w:lang w:val="es-UY"/>
        </w:rPr>
        <w:t xml:space="preserve"> de Condiciones Particulares</w:t>
      </w:r>
      <w:r w:rsidRPr="00620A7C">
        <w:rPr>
          <w:bCs/>
          <w:lang w:val="es-UY"/>
        </w:rPr>
        <w:t xml:space="preserve"> que rige el llamado de obrados establece</w:t>
      </w:r>
      <w:r w:rsidR="00100B4D">
        <w:rPr>
          <w:bCs/>
          <w:lang w:val="es-UY"/>
        </w:rPr>
        <w:t>, en su</w:t>
      </w:r>
      <w:r w:rsidRPr="00620A7C">
        <w:rPr>
          <w:bCs/>
          <w:lang w:val="es-UY"/>
        </w:rPr>
        <w:t xml:space="preserve"> </w:t>
      </w:r>
      <w:r w:rsidR="00F20259">
        <w:rPr>
          <w:bCs/>
          <w:lang w:val="es-UY"/>
        </w:rPr>
        <w:t>A</w:t>
      </w:r>
      <w:proofErr w:type="spellStart"/>
      <w:r w:rsidR="00F679A7">
        <w:t>rtículo</w:t>
      </w:r>
      <w:proofErr w:type="spellEnd"/>
      <w:r w:rsidR="00F679A7">
        <w:t xml:space="preserve"> 2</w:t>
      </w:r>
      <w:r w:rsidR="00100B4D">
        <w:t>,</w:t>
      </w:r>
      <w:r w:rsidR="00F679A7">
        <w:t xml:space="preserve"> las condiciones generales que debe tener el local a contratar</w:t>
      </w:r>
      <w:r w:rsidR="0026115F">
        <w:t>, así como la localización aproximada</w:t>
      </w:r>
      <w:r w:rsidRPr="00620A7C">
        <w:rPr>
          <w:bCs/>
          <w:lang w:val="es-UY"/>
        </w:rPr>
        <w:t xml:space="preserve">; </w:t>
      </w:r>
      <w:r w:rsidRPr="00620A7C">
        <w:rPr>
          <w:bCs/>
          <w:lang w:val="es-UY"/>
        </w:rPr>
        <w:tab/>
      </w:r>
    </w:p>
    <w:p w:rsidR="00620A7C" w:rsidRPr="00620A7C" w:rsidRDefault="00620A7C" w:rsidP="00DA07A1">
      <w:pPr>
        <w:spacing w:line="360" w:lineRule="auto"/>
        <w:ind w:firstLine="2977"/>
        <w:jc w:val="both"/>
        <w:rPr>
          <w:bCs/>
          <w:lang w:val="es-UY"/>
        </w:rPr>
      </w:pPr>
      <w:r w:rsidRPr="00620A7C">
        <w:rPr>
          <w:b/>
          <w:lang w:val="es-UY"/>
        </w:rPr>
        <w:t>2)</w:t>
      </w:r>
      <w:r w:rsidRPr="00620A7C">
        <w:rPr>
          <w:bCs/>
          <w:lang w:val="es-UY"/>
        </w:rPr>
        <w:t xml:space="preserve"> que </w:t>
      </w:r>
      <w:r w:rsidR="0026115F">
        <w:rPr>
          <w:bCs/>
          <w:lang w:val="es-UY"/>
        </w:rPr>
        <w:t>el bien ofrecido está ubicado muy distante de los “límites máximos aproximados” y en el</w:t>
      </w:r>
      <w:r w:rsidRPr="00620A7C">
        <w:rPr>
          <w:bCs/>
          <w:lang w:val="es-UY"/>
        </w:rPr>
        <w:t xml:space="preserve"> Acta de la Comisión Asesora de Adjudicaciones </w:t>
      </w:r>
      <w:r w:rsidR="00F679A7">
        <w:t xml:space="preserve">se deja constancia de irregularidades del establecimiento a contratar, así como de los requisitos y obras que la misma debe realizar para cumplir con lo establecido en el Pliego de Condiciones Particulares, no dando cumplimiento a lo previsto en el </w:t>
      </w:r>
      <w:r w:rsidR="004376AB">
        <w:t>A</w:t>
      </w:r>
      <w:r w:rsidR="00F679A7">
        <w:t>rtículo 63 del TOCAF en relación a que las ofertas deben ajustarse razonablemente a la descripción del objeto requerido</w:t>
      </w:r>
      <w:r w:rsidRPr="00620A7C">
        <w:rPr>
          <w:lang w:val="es-UY"/>
        </w:rPr>
        <w:t xml:space="preserve">; </w:t>
      </w:r>
      <w:r w:rsidRPr="00620A7C">
        <w:rPr>
          <w:bCs/>
          <w:lang w:val="es-UY"/>
        </w:rPr>
        <w:t xml:space="preserve">  </w:t>
      </w:r>
    </w:p>
    <w:p w:rsidR="00620A7C" w:rsidRPr="00620A7C" w:rsidRDefault="00620A7C" w:rsidP="00346DCC">
      <w:pPr>
        <w:spacing w:line="360" w:lineRule="auto"/>
        <w:ind w:firstLine="2977"/>
        <w:jc w:val="both"/>
        <w:rPr>
          <w:rFonts w:cs="Arial"/>
          <w:bCs/>
          <w:lang w:val="es-UY"/>
        </w:rPr>
      </w:pPr>
      <w:r w:rsidRPr="00620A7C">
        <w:rPr>
          <w:b/>
          <w:bCs/>
          <w:lang w:val="es-UY"/>
        </w:rPr>
        <w:t xml:space="preserve">3) </w:t>
      </w:r>
      <w:r w:rsidRPr="00620A7C">
        <w:rPr>
          <w:bCs/>
          <w:lang w:val="es-UY"/>
        </w:rPr>
        <w:t xml:space="preserve">que </w:t>
      </w:r>
      <w:r w:rsidR="00F679A7">
        <w:rPr>
          <w:bCs/>
          <w:lang w:val="es-UY"/>
        </w:rPr>
        <w:t>se incumple, asimismo, lo previsto en el Artículo 74 del TOCAF en relación a</w:t>
      </w:r>
      <w:r w:rsidR="00AD3E61">
        <w:rPr>
          <w:bCs/>
          <w:lang w:val="es-UY"/>
        </w:rPr>
        <w:t xml:space="preserve">l máximo previsto para </w:t>
      </w:r>
      <w:r w:rsidR="00F679A7">
        <w:rPr>
          <w:bCs/>
          <w:lang w:val="es-UY"/>
        </w:rPr>
        <w:t xml:space="preserve"> la ampliación del objeto del contrato, que en ningún</w:t>
      </w:r>
      <w:r w:rsidR="00AD3E61">
        <w:rPr>
          <w:bCs/>
          <w:lang w:val="es-UY"/>
        </w:rPr>
        <w:t xml:space="preserve"> caso puede exceder de</w:t>
      </w:r>
      <w:r w:rsidR="00F679A7">
        <w:rPr>
          <w:bCs/>
          <w:lang w:val="es-UY"/>
        </w:rPr>
        <w:t xml:space="preserve"> 100%;</w:t>
      </w:r>
    </w:p>
    <w:p w:rsidR="00620A7C" w:rsidRPr="00620A7C" w:rsidRDefault="00620A7C" w:rsidP="0044262D">
      <w:pPr>
        <w:keepNext/>
        <w:spacing w:line="360" w:lineRule="auto"/>
        <w:ind w:firstLine="851"/>
        <w:jc w:val="both"/>
        <w:outlineLvl w:val="1"/>
        <w:rPr>
          <w:rFonts w:cs="Arial"/>
          <w:bCs/>
          <w:color w:val="000000"/>
          <w:szCs w:val="20"/>
          <w:lang w:val="es-UY"/>
        </w:rPr>
      </w:pPr>
      <w:r w:rsidRPr="00620A7C">
        <w:rPr>
          <w:rFonts w:cs="Arial"/>
          <w:b/>
          <w:color w:val="000000"/>
          <w:szCs w:val="20"/>
          <w:lang w:val="es-UY"/>
        </w:rPr>
        <w:t xml:space="preserve">ATENTO: </w:t>
      </w:r>
      <w:r w:rsidRPr="00620A7C">
        <w:rPr>
          <w:rFonts w:cs="Arial"/>
          <w:bCs/>
          <w:color w:val="000000"/>
          <w:szCs w:val="20"/>
          <w:lang w:val="es-UY"/>
        </w:rPr>
        <w:t xml:space="preserve">a lo precedentemente expuesto y a lo establecido en el </w:t>
      </w:r>
      <w:r w:rsidR="00F20259">
        <w:rPr>
          <w:rFonts w:cs="Arial"/>
          <w:bCs/>
          <w:color w:val="000000"/>
          <w:szCs w:val="20"/>
          <w:lang w:val="es-UY"/>
        </w:rPr>
        <w:t>A</w:t>
      </w:r>
      <w:r w:rsidRPr="00620A7C">
        <w:rPr>
          <w:rFonts w:cs="Arial"/>
          <w:bCs/>
          <w:color w:val="000000"/>
          <w:szCs w:val="20"/>
          <w:lang w:val="es-UY"/>
        </w:rPr>
        <w:t xml:space="preserve">rtículo 211 </w:t>
      </w:r>
      <w:r w:rsidR="00F20259">
        <w:rPr>
          <w:rFonts w:cs="Arial"/>
          <w:bCs/>
          <w:color w:val="000000"/>
          <w:szCs w:val="20"/>
          <w:lang w:val="es-UY"/>
        </w:rPr>
        <w:t>L</w:t>
      </w:r>
      <w:r w:rsidRPr="00620A7C">
        <w:rPr>
          <w:rFonts w:cs="Arial"/>
          <w:bCs/>
          <w:color w:val="000000"/>
          <w:szCs w:val="20"/>
          <w:lang w:val="es-UY"/>
        </w:rPr>
        <w:t>iteral B) de la Constitución de la República;</w:t>
      </w:r>
    </w:p>
    <w:p w:rsidR="00620A7C" w:rsidRPr="00620A7C" w:rsidRDefault="00620A7C" w:rsidP="00620A7C">
      <w:pPr>
        <w:keepNext/>
        <w:spacing w:line="360" w:lineRule="auto"/>
        <w:jc w:val="center"/>
        <w:outlineLvl w:val="1"/>
        <w:rPr>
          <w:rFonts w:cs="Arial"/>
          <w:b/>
          <w:color w:val="000000"/>
          <w:szCs w:val="20"/>
          <w:lang w:val="es-UY"/>
        </w:rPr>
      </w:pPr>
      <w:r w:rsidRPr="00620A7C">
        <w:rPr>
          <w:rFonts w:cs="Arial"/>
          <w:b/>
          <w:color w:val="000000"/>
          <w:szCs w:val="20"/>
          <w:lang w:val="es-UY"/>
        </w:rPr>
        <w:t>EL TRIBUNAL ACUERDA</w:t>
      </w:r>
    </w:p>
    <w:p w:rsidR="00620A7C" w:rsidRPr="00620A7C" w:rsidRDefault="0044262D" w:rsidP="0044262D">
      <w:pPr>
        <w:spacing w:line="360" w:lineRule="auto"/>
        <w:jc w:val="both"/>
        <w:rPr>
          <w:rFonts w:cs="Arial"/>
          <w:bCs/>
          <w:color w:val="000000"/>
          <w:szCs w:val="20"/>
        </w:rPr>
      </w:pPr>
      <w:r w:rsidRPr="00F20259">
        <w:rPr>
          <w:rFonts w:cs="Arial"/>
          <w:b/>
          <w:bCs/>
          <w:color w:val="000000"/>
          <w:szCs w:val="20"/>
        </w:rPr>
        <w:t>1)</w:t>
      </w:r>
      <w:r>
        <w:rPr>
          <w:rFonts w:cs="Arial"/>
          <w:bCs/>
          <w:color w:val="000000"/>
          <w:szCs w:val="20"/>
        </w:rPr>
        <w:t xml:space="preserve"> </w:t>
      </w:r>
      <w:r w:rsidR="00620A7C" w:rsidRPr="00620A7C">
        <w:rPr>
          <w:rFonts w:cs="Arial"/>
          <w:bCs/>
          <w:color w:val="000000"/>
          <w:szCs w:val="20"/>
        </w:rPr>
        <w:t xml:space="preserve">Observar el gasto;  </w:t>
      </w:r>
    </w:p>
    <w:p w:rsidR="00620A7C" w:rsidRPr="00620A7C" w:rsidRDefault="0044262D" w:rsidP="0044262D">
      <w:pPr>
        <w:spacing w:line="360" w:lineRule="auto"/>
        <w:jc w:val="both"/>
        <w:rPr>
          <w:rFonts w:cs="Arial"/>
          <w:bCs/>
          <w:color w:val="000000"/>
          <w:szCs w:val="20"/>
        </w:rPr>
      </w:pPr>
      <w:r w:rsidRPr="00F20259">
        <w:rPr>
          <w:rFonts w:cs="Arial"/>
          <w:b/>
          <w:bCs/>
          <w:color w:val="000000"/>
          <w:szCs w:val="20"/>
        </w:rPr>
        <w:t>2)</w:t>
      </w:r>
      <w:r>
        <w:rPr>
          <w:rFonts w:cs="Arial"/>
          <w:bCs/>
          <w:color w:val="000000"/>
          <w:szCs w:val="20"/>
        </w:rPr>
        <w:t xml:space="preserve"> </w:t>
      </w:r>
      <w:r w:rsidR="00620A7C" w:rsidRPr="00620A7C">
        <w:rPr>
          <w:rFonts w:cs="Arial"/>
          <w:bCs/>
          <w:color w:val="000000"/>
          <w:szCs w:val="20"/>
        </w:rPr>
        <w:t>Devolver las actuaciones.</w:t>
      </w:r>
    </w:p>
    <w:p w:rsidR="00524DB6" w:rsidRDefault="00524DB6" w:rsidP="00E33A4D">
      <w:pPr>
        <w:pStyle w:val="Prrafodelista"/>
        <w:spacing w:line="360" w:lineRule="auto"/>
        <w:ind w:left="0"/>
        <w:jc w:val="both"/>
      </w:pPr>
    </w:p>
    <w:p w:rsidR="00524DB6" w:rsidRDefault="00524DB6" w:rsidP="00E33A4D">
      <w:pPr>
        <w:pStyle w:val="Prrafodelista"/>
        <w:spacing w:line="360" w:lineRule="auto"/>
        <w:ind w:left="0"/>
        <w:jc w:val="both"/>
      </w:pPr>
    </w:p>
    <w:sectPr w:rsidR="00524DB6" w:rsidSect="00431DA5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BD" w:rsidRDefault="00ED1DBD" w:rsidP="00ED1DBD">
      <w:r>
        <w:separator/>
      </w:r>
    </w:p>
  </w:endnote>
  <w:endnote w:type="continuationSeparator" w:id="0">
    <w:p w:rsidR="00ED1DBD" w:rsidRDefault="00ED1DBD" w:rsidP="00ED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22720"/>
      <w:docPartObj>
        <w:docPartGallery w:val="Page Numbers (Bottom of Page)"/>
        <w:docPartUnique/>
      </w:docPartObj>
    </w:sdtPr>
    <w:sdtContent>
      <w:p w:rsidR="00ED1DBD" w:rsidRDefault="00ED1D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DA5">
          <w:rPr>
            <w:noProof/>
          </w:rPr>
          <w:t>4</w:t>
        </w:r>
        <w:r>
          <w:fldChar w:fldCharType="end"/>
        </w:r>
      </w:p>
    </w:sdtContent>
  </w:sdt>
  <w:p w:rsidR="00ED1DBD" w:rsidRDefault="00ED1D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BD" w:rsidRDefault="00ED1DBD" w:rsidP="00ED1DBD">
      <w:r>
        <w:separator/>
      </w:r>
    </w:p>
  </w:footnote>
  <w:footnote w:type="continuationSeparator" w:id="0">
    <w:p w:rsidR="00ED1DBD" w:rsidRDefault="00ED1DBD" w:rsidP="00ED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AB"/>
    <w:multiLevelType w:val="hybridMultilevel"/>
    <w:tmpl w:val="3B544EC4"/>
    <w:lvl w:ilvl="0" w:tplc="A992CA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31F8"/>
    <w:multiLevelType w:val="hybridMultilevel"/>
    <w:tmpl w:val="6F547F2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B1DDB"/>
    <w:multiLevelType w:val="multilevel"/>
    <w:tmpl w:val="E1DEB2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040"/>
        </w:tabs>
        <w:ind w:left="2040" w:hanging="9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6310E5"/>
    <w:multiLevelType w:val="hybridMultilevel"/>
    <w:tmpl w:val="B37E56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FA2E1E"/>
    <w:multiLevelType w:val="hybridMultilevel"/>
    <w:tmpl w:val="9806AE72"/>
    <w:lvl w:ilvl="0" w:tplc="1820C26E">
      <w:start w:val="5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E5BB0"/>
    <w:multiLevelType w:val="multilevel"/>
    <w:tmpl w:val="7D6889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52EB4"/>
    <w:multiLevelType w:val="hybridMultilevel"/>
    <w:tmpl w:val="C0028D8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5035"/>
    <w:multiLevelType w:val="hybridMultilevel"/>
    <w:tmpl w:val="76E23AF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573B7"/>
    <w:multiLevelType w:val="multilevel"/>
    <w:tmpl w:val="D646E1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C6AE2"/>
    <w:multiLevelType w:val="hybridMultilevel"/>
    <w:tmpl w:val="D646E15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F45A8"/>
    <w:multiLevelType w:val="hybridMultilevel"/>
    <w:tmpl w:val="9AA4EA76"/>
    <w:lvl w:ilvl="0" w:tplc="C4B4E6E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694671"/>
    <w:multiLevelType w:val="hybridMultilevel"/>
    <w:tmpl w:val="5922DA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771D95"/>
    <w:multiLevelType w:val="hybridMultilevel"/>
    <w:tmpl w:val="091A84C2"/>
    <w:lvl w:ilvl="0" w:tplc="A18CFF1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FB07E53"/>
    <w:multiLevelType w:val="hybridMultilevel"/>
    <w:tmpl w:val="B2C602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405A2"/>
    <w:multiLevelType w:val="hybridMultilevel"/>
    <w:tmpl w:val="C5328646"/>
    <w:lvl w:ilvl="0" w:tplc="195AED2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>
    <w:nsid w:val="4624071D"/>
    <w:multiLevelType w:val="multilevel"/>
    <w:tmpl w:val="38E8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F0364D"/>
    <w:multiLevelType w:val="hybridMultilevel"/>
    <w:tmpl w:val="A886BA2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3B0381"/>
    <w:multiLevelType w:val="hybridMultilevel"/>
    <w:tmpl w:val="38E89D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6A1C96"/>
    <w:multiLevelType w:val="hybridMultilevel"/>
    <w:tmpl w:val="E1DEB2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EDAE6">
      <w:numFmt w:val="bullet"/>
      <w:lvlText w:val="-"/>
      <w:lvlJc w:val="left"/>
      <w:pPr>
        <w:tabs>
          <w:tab w:val="num" w:pos="2040"/>
        </w:tabs>
        <w:ind w:left="2040" w:hanging="9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882A89"/>
    <w:multiLevelType w:val="hybridMultilevel"/>
    <w:tmpl w:val="0B10DC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C115A8"/>
    <w:multiLevelType w:val="hybridMultilevel"/>
    <w:tmpl w:val="118C90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287438"/>
    <w:multiLevelType w:val="hybridMultilevel"/>
    <w:tmpl w:val="647E8CEE"/>
    <w:lvl w:ilvl="0" w:tplc="14A0A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47B70"/>
    <w:multiLevelType w:val="hybridMultilevel"/>
    <w:tmpl w:val="884892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20"/>
  </w:num>
  <w:num w:numId="10">
    <w:abstractNumId w:val="18"/>
  </w:num>
  <w:num w:numId="11">
    <w:abstractNumId w:val="9"/>
  </w:num>
  <w:num w:numId="12">
    <w:abstractNumId w:val="23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8"/>
  </w:num>
  <w:num w:numId="18">
    <w:abstractNumId w:val="17"/>
  </w:num>
  <w:num w:numId="19">
    <w:abstractNumId w:val="21"/>
  </w:num>
  <w:num w:numId="20">
    <w:abstractNumId w:val="22"/>
  </w:num>
  <w:num w:numId="21">
    <w:abstractNumId w:val="11"/>
  </w:num>
  <w:num w:numId="22">
    <w:abstractNumId w:val="7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82"/>
    <w:rsid w:val="000803FD"/>
    <w:rsid w:val="00082947"/>
    <w:rsid w:val="0009205D"/>
    <w:rsid w:val="000A66C5"/>
    <w:rsid w:val="000B5BE9"/>
    <w:rsid w:val="000B7DF6"/>
    <w:rsid w:val="00100B4D"/>
    <w:rsid w:val="00122AE3"/>
    <w:rsid w:val="001A1E2D"/>
    <w:rsid w:val="001A4B7E"/>
    <w:rsid w:val="002469E6"/>
    <w:rsid w:val="00251AC3"/>
    <w:rsid w:val="0026115F"/>
    <w:rsid w:val="002C2786"/>
    <w:rsid w:val="002D380B"/>
    <w:rsid w:val="002E4BE5"/>
    <w:rsid w:val="002F460E"/>
    <w:rsid w:val="00310A3D"/>
    <w:rsid w:val="00311611"/>
    <w:rsid w:val="00326764"/>
    <w:rsid w:val="0033748E"/>
    <w:rsid w:val="00346DCC"/>
    <w:rsid w:val="0036787D"/>
    <w:rsid w:val="00380AC7"/>
    <w:rsid w:val="00383609"/>
    <w:rsid w:val="003C054C"/>
    <w:rsid w:val="003D4146"/>
    <w:rsid w:val="00431DA5"/>
    <w:rsid w:val="004376AB"/>
    <w:rsid w:val="0044262D"/>
    <w:rsid w:val="00495D32"/>
    <w:rsid w:val="004B78B0"/>
    <w:rsid w:val="00500DAA"/>
    <w:rsid w:val="00524DB6"/>
    <w:rsid w:val="0054591E"/>
    <w:rsid w:val="00597E46"/>
    <w:rsid w:val="005F13AD"/>
    <w:rsid w:val="00600DA8"/>
    <w:rsid w:val="00620A7C"/>
    <w:rsid w:val="00622C2E"/>
    <w:rsid w:val="0062467A"/>
    <w:rsid w:val="0075473C"/>
    <w:rsid w:val="00755234"/>
    <w:rsid w:val="007574CB"/>
    <w:rsid w:val="00773FAD"/>
    <w:rsid w:val="00784AE4"/>
    <w:rsid w:val="007A3C57"/>
    <w:rsid w:val="007D5E05"/>
    <w:rsid w:val="007E3082"/>
    <w:rsid w:val="007F0666"/>
    <w:rsid w:val="008329B8"/>
    <w:rsid w:val="0087745B"/>
    <w:rsid w:val="00987556"/>
    <w:rsid w:val="0099100C"/>
    <w:rsid w:val="009B2989"/>
    <w:rsid w:val="00A02576"/>
    <w:rsid w:val="00A34136"/>
    <w:rsid w:val="00A358A7"/>
    <w:rsid w:val="00A4556A"/>
    <w:rsid w:val="00A95083"/>
    <w:rsid w:val="00AD3E61"/>
    <w:rsid w:val="00AE4133"/>
    <w:rsid w:val="00B11DF0"/>
    <w:rsid w:val="00B26B07"/>
    <w:rsid w:val="00B92F2C"/>
    <w:rsid w:val="00BB6E44"/>
    <w:rsid w:val="00BF35D7"/>
    <w:rsid w:val="00BF61CC"/>
    <w:rsid w:val="00C22003"/>
    <w:rsid w:val="00C75DA7"/>
    <w:rsid w:val="00CD04B3"/>
    <w:rsid w:val="00D63FD0"/>
    <w:rsid w:val="00D64D0E"/>
    <w:rsid w:val="00D94DB7"/>
    <w:rsid w:val="00DA07A1"/>
    <w:rsid w:val="00DD4C62"/>
    <w:rsid w:val="00DD7965"/>
    <w:rsid w:val="00DF1591"/>
    <w:rsid w:val="00E04255"/>
    <w:rsid w:val="00E32EB6"/>
    <w:rsid w:val="00E33A4D"/>
    <w:rsid w:val="00E56F30"/>
    <w:rsid w:val="00E72AE7"/>
    <w:rsid w:val="00ED1DBD"/>
    <w:rsid w:val="00F20259"/>
    <w:rsid w:val="00F623AF"/>
    <w:rsid w:val="00F64B8D"/>
    <w:rsid w:val="00F679A7"/>
    <w:rsid w:val="00F933DB"/>
    <w:rsid w:val="00FB2059"/>
    <w:rsid w:val="00F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82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E3082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620A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3082"/>
    <w:rPr>
      <w:rFonts w:ascii="Bookman Old Style" w:hAnsi="Bookman Old Style" w:cs="Times New Roman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7E3082"/>
    <w:pPr>
      <w:spacing w:line="360" w:lineRule="auto"/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7E3082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C75DA7"/>
    <w:pPr>
      <w:ind w:left="720"/>
      <w:contextualSpacing/>
    </w:pPr>
  </w:style>
  <w:style w:type="character" w:customStyle="1" w:styleId="Ttulo2Car">
    <w:name w:val="Título 2 Car"/>
    <w:link w:val="Ttulo2"/>
    <w:semiHidden/>
    <w:rsid w:val="00620A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20A7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620A7C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D1D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BD"/>
    <w:rPr>
      <w:rFonts w:ascii="Arial" w:eastAsia="Times New Roman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1D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BD"/>
    <w:rPr>
      <w:rFonts w:ascii="Arial" w:eastAsia="Times New Roman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DA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82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E3082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620A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3082"/>
    <w:rPr>
      <w:rFonts w:ascii="Bookman Old Style" w:hAnsi="Bookman Old Style" w:cs="Times New Roman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7E3082"/>
    <w:pPr>
      <w:spacing w:line="360" w:lineRule="auto"/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7E3082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C75DA7"/>
    <w:pPr>
      <w:ind w:left="720"/>
      <w:contextualSpacing/>
    </w:pPr>
  </w:style>
  <w:style w:type="character" w:customStyle="1" w:styleId="Ttulo2Car">
    <w:name w:val="Título 2 Car"/>
    <w:link w:val="Ttulo2"/>
    <w:semiHidden/>
    <w:rsid w:val="00620A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20A7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620A7C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D1D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BD"/>
    <w:rPr>
      <w:rFonts w:ascii="Arial" w:eastAsia="Times New Roman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1D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BD"/>
    <w:rPr>
      <w:rFonts w:ascii="Arial" w:eastAsia="Times New Roman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DA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2014-17-1-0004267         </vt:lpstr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2014-17-1-0004267         </dc:title>
  <dc:subject/>
  <dc:creator>MARIEM APOTHELOZ</dc:creator>
  <cp:keywords/>
  <dc:description/>
  <cp:lastModifiedBy>Lenovo User</cp:lastModifiedBy>
  <cp:revision>26</cp:revision>
  <cp:lastPrinted>2014-08-15T17:23:00Z</cp:lastPrinted>
  <dcterms:created xsi:type="dcterms:W3CDTF">2014-08-15T15:38:00Z</dcterms:created>
  <dcterms:modified xsi:type="dcterms:W3CDTF">2014-08-15T17:23:00Z</dcterms:modified>
</cp:coreProperties>
</file>