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DC" w:rsidRPr="00340643" w:rsidRDefault="00A45ADC" w:rsidP="00A45ADC">
      <w:pPr>
        <w:tabs>
          <w:tab w:val="center" w:pos="4253"/>
        </w:tabs>
        <w:suppressAutoHyphens/>
        <w:jc w:val="center"/>
        <w:rPr>
          <w:b/>
          <w:lang w:val="es-ES_tradnl"/>
        </w:rPr>
      </w:pPr>
      <w:r w:rsidRPr="00340643">
        <w:rPr>
          <w:b/>
          <w:lang w:val="es-ES_tradnl"/>
        </w:rPr>
        <w:t>RESOLUCION ADOPTADA POR EL</w:t>
      </w:r>
    </w:p>
    <w:p w:rsidR="00A45ADC" w:rsidRPr="00340643" w:rsidRDefault="00A45ADC" w:rsidP="00A45ADC">
      <w:pPr>
        <w:tabs>
          <w:tab w:val="left" w:pos="-720"/>
        </w:tabs>
        <w:suppressAutoHyphens/>
        <w:jc w:val="center"/>
        <w:rPr>
          <w:b/>
          <w:lang w:val="es-ES_tradnl"/>
        </w:rPr>
      </w:pPr>
    </w:p>
    <w:p w:rsidR="00A45ADC" w:rsidRPr="00340643" w:rsidRDefault="00A45ADC" w:rsidP="00A45ADC">
      <w:pPr>
        <w:tabs>
          <w:tab w:val="center" w:pos="4253"/>
        </w:tabs>
        <w:suppressAutoHyphens/>
        <w:jc w:val="center"/>
        <w:rPr>
          <w:b/>
          <w:lang w:val="es-ES_tradnl"/>
        </w:rPr>
      </w:pPr>
      <w:r w:rsidRPr="00340643">
        <w:rPr>
          <w:b/>
          <w:lang w:val="es-ES_tradnl"/>
        </w:rPr>
        <w:t>TRIBUNAL DE CUENTAS</w:t>
      </w:r>
    </w:p>
    <w:p w:rsidR="00A45ADC" w:rsidRPr="00340643" w:rsidRDefault="00A45ADC" w:rsidP="00A45ADC">
      <w:pPr>
        <w:tabs>
          <w:tab w:val="left" w:pos="-720"/>
        </w:tabs>
        <w:suppressAutoHyphens/>
        <w:jc w:val="center"/>
        <w:rPr>
          <w:b/>
          <w:lang w:val="es-ES_tradnl"/>
        </w:rPr>
      </w:pPr>
    </w:p>
    <w:p w:rsidR="00A45ADC" w:rsidRPr="00340643" w:rsidRDefault="00A45ADC" w:rsidP="00A45ADC">
      <w:pPr>
        <w:tabs>
          <w:tab w:val="center" w:pos="4253"/>
        </w:tabs>
        <w:suppressAutoHyphens/>
        <w:jc w:val="center"/>
        <w:rPr>
          <w:b/>
          <w:lang w:val="es-ES_tradnl"/>
        </w:rPr>
      </w:pPr>
      <w:r w:rsidRPr="00340643">
        <w:rPr>
          <w:b/>
          <w:lang w:val="es-ES_tradnl"/>
        </w:rPr>
        <w:t>EN SESION DE FECHA  DE  30 DE JULIO DE 2014</w:t>
      </w:r>
    </w:p>
    <w:p w:rsidR="00A45ADC" w:rsidRPr="00340643" w:rsidRDefault="00A45ADC" w:rsidP="00A45ADC">
      <w:pPr>
        <w:tabs>
          <w:tab w:val="center" w:pos="4253"/>
        </w:tabs>
        <w:suppressAutoHyphens/>
        <w:jc w:val="center"/>
        <w:rPr>
          <w:b/>
          <w:lang w:val="es-ES_tradnl"/>
        </w:rPr>
      </w:pPr>
    </w:p>
    <w:p w:rsidR="00A45ADC" w:rsidRPr="00340643" w:rsidRDefault="00A45ADC" w:rsidP="00A45ADC">
      <w:pPr>
        <w:tabs>
          <w:tab w:val="center" w:pos="4253"/>
        </w:tabs>
        <w:suppressAutoHyphens/>
        <w:jc w:val="center"/>
        <w:rPr>
          <w:b/>
          <w:lang w:val="es-ES_tradnl"/>
        </w:rPr>
      </w:pPr>
      <w:r w:rsidRPr="005814E0">
        <w:rPr>
          <w:b/>
          <w:lang w:val="es-ES_tradnl"/>
        </w:rPr>
        <w:t xml:space="preserve">(E. E. Nº 2014-17-1-0005669, </w:t>
      </w:r>
      <w:proofErr w:type="spellStart"/>
      <w:r w:rsidRPr="005814E0">
        <w:rPr>
          <w:b/>
          <w:lang w:val="es-ES_tradnl"/>
        </w:rPr>
        <w:t>Ent</w:t>
      </w:r>
      <w:proofErr w:type="spellEnd"/>
      <w:r w:rsidRPr="005814E0">
        <w:rPr>
          <w:b/>
          <w:lang w:val="es-ES_tradnl"/>
        </w:rPr>
        <w:t xml:space="preserve">. </w:t>
      </w:r>
      <w:r w:rsidRPr="00340643">
        <w:rPr>
          <w:b/>
          <w:lang w:val="es-ES_tradnl"/>
        </w:rPr>
        <w:t xml:space="preserve">N° </w:t>
      </w:r>
      <w:r>
        <w:rPr>
          <w:b/>
          <w:lang w:val="es-ES_tradnl"/>
        </w:rPr>
        <w:t>4386/14</w:t>
      </w:r>
      <w:r w:rsidRPr="00340643">
        <w:rPr>
          <w:b/>
          <w:lang w:val="es-ES_tradnl"/>
        </w:rPr>
        <w:t>)</w:t>
      </w:r>
    </w:p>
    <w:p w:rsidR="00412691" w:rsidRDefault="00412691">
      <w:pPr>
        <w:suppressAutoHyphens/>
        <w:spacing w:line="360" w:lineRule="auto"/>
        <w:jc w:val="center"/>
        <w:rPr>
          <w:rFonts w:ascii="Times New Roman" w:hAnsi="Times New Roman" w:cs="Times New Roman"/>
          <w:b/>
          <w:bCs/>
          <w:spacing w:val="-3"/>
          <w:lang w:val="es-ES_tradnl"/>
        </w:rPr>
      </w:pPr>
    </w:p>
    <w:p w:rsidR="007F221F" w:rsidRDefault="007F221F">
      <w:pPr>
        <w:tabs>
          <w:tab w:val="left" w:pos="-720"/>
        </w:tabs>
        <w:suppressAutoHyphens/>
        <w:spacing w:line="360" w:lineRule="auto"/>
        <w:jc w:val="both"/>
        <w:rPr>
          <w:b/>
          <w:bCs/>
          <w:spacing w:val="-3"/>
          <w:lang w:val="es-ES_tradnl"/>
        </w:rPr>
      </w:pPr>
    </w:p>
    <w:p w:rsidR="00412691" w:rsidRPr="00A45ADC" w:rsidRDefault="00412691" w:rsidP="005814E0">
      <w:pPr>
        <w:tabs>
          <w:tab w:val="left" w:pos="-720"/>
        </w:tabs>
        <w:suppressAutoHyphens/>
        <w:spacing w:line="360" w:lineRule="auto"/>
        <w:ind w:firstLine="851"/>
        <w:jc w:val="both"/>
      </w:pPr>
      <w:r w:rsidRPr="00A45ADC">
        <w:rPr>
          <w:b/>
          <w:bCs/>
          <w:spacing w:val="-3"/>
          <w:lang w:val="es-ES_tradnl"/>
        </w:rPr>
        <w:t>VISTO:</w:t>
      </w:r>
      <w:r w:rsidRPr="00A45ADC">
        <w:rPr>
          <w:spacing w:val="-3"/>
          <w:lang w:val="es-ES_tradnl"/>
        </w:rPr>
        <w:t xml:space="preserve"> estos antecedentes remitidos por la </w:t>
      </w:r>
      <w:r w:rsidRPr="00A45ADC">
        <w:t>Administración de las Obras Sanitarias del Estado (OSE)</w:t>
      </w:r>
      <w:r w:rsidRPr="00A45ADC">
        <w:rPr>
          <w:spacing w:val="-3"/>
          <w:lang w:val="es-ES_tradnl"/>
        </w:rPr>
        <w:t xml:space="preserve">, relacionados con el gasto emergente del acuerdo transaccional </w:t>
      </w:r>
      <w:r w:rsidRPr="00A45ADC">
        <w:t xml:space="preserve">extrajudicial celebrado con el Sr. Alfredo Marcelo </w:t>
      </w:r>
      <w:proofErr w:type="spellStart"/>
      <w:r w:rsidRPr="00A45ADC">
        <w:t>Btesh</w:t>
      </w:r>
      <w:proofErr w:type="spellEnd"/>
      <w:r w:rsidR="008861FB">
        <w:t>,</w:t>
      </w:r>
      <w:r w:rsidRPr="00A45ADC">
        <w:t xml:space="preserve"> actuando por sí y en representación de todos los copropietarios del inmueble sito en la calle R</w:t>
      </w:r>
      <w:r w:rsidR="008861FB">
        <w:t>í</w:t>
      </w:r>
      <w:r w:rsidRPr="00A45ADC">
        <w:t>o Branco casi Roosevelt, P</w:t>
      </w:r>
      <w:r w:rsidR="001F09E3">
        <w:t>a</w:t>
      </w:r>
      <w:r w:rsidR="008861FB">
        <w:t xml:space="preserve">rada 9, Punta del Este, y </w:t>
      </w:r>
      <w:r w:rsidRPr="00A45ADC">
        <w:t>de CENGI S.A.;</w:t>
      </w:r>
    </w:p>
    <w:p w:rsidR="00412691" w:rsidRPr="00A45ADC" w:rsidRDefault="00412691" w:rsidP="005814E0">
      <w:pPr>
        <w:tabs>
          <w:tab w:val="left" w:pos="-720"/>
        </w:tabs>
        <w:suppressAutoHyphens/>
        <w:spacing w:line="360" w:lineRule="auto"/>
        <w:ind w:firstLine="851"/>
        <w:jc w:val="both"/>
      </w:pPr>
      <w:r w:rsidRPr="00A45ADC">
        <w:rPr>
          <w:b/>
          <w:bCs/>
        </w:rPr>
        <w:t>RESULTANDO: 1)</w:t>
      </w:r>
      <w:r w:rsidRPr="00A45ADC">
        <w:t xml:space="preserve"> que los reclamantes mencionados peticionaron con fecha 25/</w:t>
      </w:r>
      <w:r w:rsidR="008861FB">
        <w:t>0</w:t>
      </w:r>
      <w:r w:rsidRPr="00A45ADC">
        <w:t xml:space="preserve">2/11 el resarcimiento de los daños ocasionados, como consecuencia de la inundación sufrida en la finca de la cual el Sr. </w:t>
      </w:r>
      <w:proofErr w:type="spellStart"/>
      <w:r w:rsidRPr="00A45ADC">
        <w:t>Btesh</w:t>
      </w:r>
      <w:proofErr w:type="spellEnd"/>
      <w:r w:rsidRPr="00A45ADC">
        <w:t xml:space="preserve"> es promitente comprador, conjuntamente con los Sres. Salvador Martin, Matías Alberto y Linda Carla </w:t>
      </w:r>
      <w:proofErr w:type="spellStart"/>
      <w:r w:rsidRPr="00A45ADC">
        <w:t>Btesh</w:t>
      </w:r>
      <w:proofErr w:type="spellEnd"/>
      <w:r w:rsidRPr="00A45ADC">
        <w:t>, en la calle Rio Branco casi Roosevelt, P</w:t>
      </w:r>
      <w:r w:rsidR="001F09E3">
        <w:t>a</w:t>
      </w:r>
      <w:r w:rsidRPr="00A45ADC">
        <w:t>rada 9, Punta del Este, así como en diversos bienes muebles y en el vehículo matr</w:t>
      </w:r>
      <w:r w:rsidR="008861FB">
        <w:t>í</w:t>
      </w:r>
      <w:r w:rsidRPr="00A45ADC">
        <w:t xml:space="preserve">cula </w:t>
      </w:r>
      <w:r w:rsidR="001F09E3">
        <w:t xml:space="preserve">          </w:t>
      </w:r>
      <w:r w:rsidRPr="00A45ADC">
        <w:t>DNU 897, propiedad de CENGI S.A.;</w:t>
      </w:r>
    </w:p>
    <w:p w:rsidR="00412691" w:rsidRPr="00A45ADC" w:rsidRDefault="00412691" w:rsidP="005814E0">
      <w:pPr>
        <w:tabs>
          <w:tab w:val="left" w:pos="-720"/>
        </w:tabs>
        <w:suppressAutoHyphens/>
        <w:spacing w:line="360" w:lineRule="auto"/>
        <w:ind w:firstLine="2694"/>
        <w:jc w:val="both"/>
      </w:pPr>
      <w:r w:rsidRPr="00A45ADC">
        <w:rPr>
          <w:b/>
          <w:bCs/>
        </w:rPr>
        <w:t xml:space="preserve">2) </w:t>
      </w:r>
      <w:r w:rsidRPr="00A45ADC">
        <w:t>que tras constatarse por parte del Organismo, a través de su Jefatura de Redes de la Unidad de Gestión Desconcentrada de Maldonado, la rotura del caño que originó la inundación denunciada por los reclamantes, la Oficina Jurídica Notarial sugirió el 11/</w:t>
      </w:r>
      <w:r w:rsidR="008861FB">
        <w:t>0</w:t>
      </w:r>
      <w:r w:rsidRPr="00A45ADC">
        <w:t xml:space="preserve">3/13 la realización de una transacción por un monto de $ 110.000;                                                      </w:t>
      </w:r>
    </w:p>
    <w:p w:rsidR="00412691" w:rsidRPr="00A45ADC" w:rsidRDefault="00412691" w:rsidP="005814E0">
      <w:pPr>
        <w:pStyle w:val="Textoindependiente"/>
        <w:ind w:firstLine="2694"/>
      </w:pPr>
      <w:r w:rsidRPr="00A45ADC">
        <w:rPr>
          <w:b/>
          <w:bCs/>
        </w:rPr>
        <w:t xml:space="preserve">3) </w:t>
      </w:r>
      <w:r w:rsidRPr="00A45ADC">
        <w:t xml:space="preserve">que a los efectos de evitar un eventual litigio y sin que implique ningún tipo de reconocimiento por parte de la Administración,  con fecha </w:t>
      </w:r>
      <w:r w:rsidR="008861FB">
        <w:t>0</w:t>
      </w:r>
      <w:r w:rsidRPr="00A45ADC">
        <w:t>4/</w:t>
      </w:r>
      <w:r w:rsidR="008861FB">
        <w:t>0</w:t>
      </w:r>
      <w:r w:rsidRPr="00A45ADC">
        <w:t xml:space="preserve">3/13, se celebró un  acuerdo transaccional entre ambas partes según el cual el Organismo abonará la suma total y final de $ 110.000 comprensiva de los eventuales daños y perjuicios generados, condicionándose dicha </w:t>
      </w:r>
      <w:r w:rsidR="000627DB">
        <w:lastRenderedPageBreak/>
        <w:t>transacción</w:t>
      </w:r>
      <w:r w:rsidRPr="00A45ADC">
        <w:t xml:space="preserve"> a que el Directorio finalizara  las gestiones tendientes a autorizar, imputar e intervenir el crédito respectivo para dar cumplimiento al acuerdo;</w:t>
      </w:r>
    </w:p>
    <w:p w:rsidR="00412691" w:rsidRPr="00A45ADC" w:rsidRDefault="00412691" w:rsidP="005814E0">
      <w:pPr>
        <w:pStyle w:val="Textoindependiente"/>
        <w:ind w:firstLine="2694"/>
      </w:pPr>
      <w:r w:rsidRPr="00A45ADC">
        <w:rPr>
          <w:b/>
          <w:bCs/>
        </w:rPr>
        <w:t xml:space="preserve">4) </w:t>
      </w:r>
      <w:r w:rsidRPr="00A45ADC">
        <w:t>que por Resolución de Directorio Nº 279/14, de fecha 19/3/14, se aprueba la transacción referida, comprensiva de los eventuales daños y perjuicios reclamados,  autorizándose en el mismo acto la imputación de un crédito  por la suma de  $ 110.000;</w:t>
      </w:r>
    </w:p>
    <w:p w:rsidR="00412691" w:rsidRPr="00A45ADC" w:rsidRDefault="00412691" w:rsidP="005814E0">
      <w:pPr>
        <w:tabs>
          <w:tab w:val="left" w:pos="-720"/>
        </w:tabs>
        <w:suppressAutoHyphens/>
        <w:spacing w:line="360" w:lineRule="auto"/>
        <w:ind w:firstLine="2694"/>
        <w:jc w:val="both"/>
      </w:pPr>
      <w:r w:rsidRPr="00A45ADC">
        <w:rPr>
          <w:b/>
          <w:bCs/>
        </w:rPr>
        <w:t>5)</w:t>
      </w:r>
      <w:r w:rsidRPr="00A45ADC">
        <w:t xml:space="preserve"> que con fech</w:t>
      </w:r>
      <w:r w:rsidR="000627DB">
        <w:t>a 14/7/14 la Contadora Delegada</w:t>
      </w:r>
      <w:r w:rsidRPr="00A45ADC">
        <w:t xml:space="preserve"> informa que existe disponibilidad suficiente para afrontar el gasto referido por un importe de $</w:t>
      </w:r>
      <w:r w:rsidR="007127BA">
        <w:t xml:space="preserve"> </w:t>
      </w:r>
      <w:r w:rsidRPr="00A45ADC">
        <w:t xml:space="preserve">110.000, con cargo al </w:t>
      </w:r>
      <w:proofErr w:type="spellStart"/>
      <w:r w:rsidRPr="00A45ADC">
        <w:t>Prog-Act</w:t>
      </w:r>
      <w:proofErr w:type="spellEnd"/>
      <w:r w:rsidRPr="00A45ADC">
        <w:t xml:space="preserve"> 1100, Objeto 711000,  Presupuesto de Compras 2014,  Grupo 7 “Gastos no Clasificados”, y  sugiere la remisión de las actuaciones a este Tribunal para la intervención del gasto, en virtud de lo establecido en la Ordenanza </w:t>
      </w:r>
      <w:r w:rsidR="007127BA">
        <w:t>N</w:t>
      </w:r>
      <w:r w:rsidRPr="00A45ADC">
        <w:t>º 85 y de las Resoluciones del 18/6/08 y del 23/12/09;</w:t>
      </w:r>
    </w:p>
    <w:p w:rsidR="00412691" w:rsidRPr="00A45ADC" w:rsidRDefault="00412691" w:rsidP="005814E0">
      <w:pPr>
        <w:tabs>
          <w:tab w:val="left" w:pos="-720"/>
        </w:tabs>
        <w:suppressAutoHyphens/>
        <w:spacing w:line="360" w:lineRule="auto"/>
        <w:ind w:firstLine="851"/>
        <w:jc w:val="both"/>
        <w:rPr>
          <w:spacing w:val="-3"/>
          <w:lang w:val="es-ES_tradnl"/>
        </w:rPr>
      </w:pPr>
      <w:r w:rsidRPr="00A45ADC">
        <w:rPr>
          <w:b/>
          <w:bCs/>
          <w:spacing w:val="-3"/>
          <w:lang w:val="es-ES_tradnl"/>
        </w:rPr>
        <w:t>CONSIDERANDO: 1)</w:t>
      </w:r>
      <w:r w:rsidRPr="00A45ADC">
        <w:rPr>
          <w:spacing w:val="-3"/>
          <w:lang w:val="es-ES_tradnl"/>
        </w:rPr>
        <w:t xml:space="preserve"> que por Resolución del Tribunal de Cuentas, de</w:t>
      </w:r>
      <w:r w:rsidRPr="00A45ADC">
        <w:rPr>
          <w:b/>
          <w:bCs/>
          <w:spacing w:val="-3"/>
          <w:lang w:val="es-ES_tradnl"/>
        </w:rPr>
        <w:t xml:space="preserve"> </w:t>
      </w:r>
      <w:r w:rsidRPr="00A45ADC">
        <w:rPr>
          <w:spacing w:val="-3"/>
          <w:lang w:val="es-ES_tradnl"/>
        </w:rPr>
        <w:t xml:space="preserve">fecha 18 de junio de 2008 en la redacción dada por el </w:t>
      </w:r>
      <w:r w:rsidR="00132680">
        <w:rPr>
          <w:spacing w:val="-3"/>
          <w:lang w:val="es-ES_tradnl"/>
        </w:rPr>
        <w:t>A</w:t>
      </w:r>
      <w:r w:rsidRPr="00A45ADC">
        <w:rPr>
          <w:spacing w:val="-3"/>
          <w:lang w:val="es-ES_tradnl"/>
        </w:rPr>
        <w:t>rtículo 2 de la Resolución de este Tribunal de 23</w:t>
      </w:r>
      <w:r w:rsidR="000627DB">
        <w:rPr>
          <w:spacing w:val="-3"/>
          <w:lang w:val="es-ES_tradnl"/>
        </w:rPr>
        <w:t>/</w:t>
      </w:r>
      <w:r w:rsidRPr="00A45ADC">
        <w:rPr>
          <w:spacing w:val="-3"/>
          <w:lang w:val="es-ES_tradnl"/>
        </w:rPr>
        <w:t>12</w:t>
      </w:r>
      <w:r w:rsidR="000627DB">
        <w:rPr>
          <w:spacing w:val="-3"/>
          <w:lang w:val="es-ES_tradnl"/>
        </w:rPr>
        <w:t>/</w:t>
      </w:r>
      <w:r w:rsidRPr="00A45ADC">
        <w:rPr>
          <w:spacing w:val="-3"/>
          <w:lang w:val="es-ES_tradnl"/>
        </w:rPr>
        <w:t>2009, se dispuso que se deben remitir al mismo, para su intervención, todos los gastos emergentes de transacciones  extrajudiciales y laudos  arbitrales, cualquiera sea su monto;</w:t>
      </w:r>
    </w:p>
    <w:p w:rsidR="00412691" w:rsidRPr="00A45ADC" w:rsidRDefault="00412691" w:rsidP="005814E0">
      <w:pPr>
        <w:tabs>
          <w:tab w:val="left" w:pos="-720"/>
        </w:tabs>
        <w:suppressAutoHyphens/>
        <w:spacing w:line="360" w:lineRule="auto"/>
        <w:ind w:firstLine="2977"/>
        <w:jc w:val="both"/>
        <w:rPr>
          <w:spacing w:val="-3"/>
          <w:lang w:val="es-ES_tradnl"/>
        </w:rPr>
      </w:pPr>
      <w:r w:rsidRPr="00A45ADC">
        <w:rPr>
          <w:b/>
          <w:bCs/>
          <w:spacing w:val="-3"/>
          <w:lang w:val="es-ES_tradnl"/>
        </w:rPr>
        <w:t xml:space="preserve">2) </w:t>
      </w:r>
      <w:r w:rsidRPr="00A45ADC">
        <w:t>que los aspectos que refieren a oportunidad o conveniencia de la transacción propuesta, constituyen una cuestión de mérito cuya apreciación no encuadra en el ámbito de competencia de este Tribunal;</w:t>
      </w:r>
      <w:r w:rsidRPr="00A45ADC">
        <w:rPr>
          <w:spacing w:val="-3"/>
          <w:lang w:val="es-ES_tradnl"/>
        </w:rPr>
        <w:t xml:space="preserve">  </w:t>
      </w:r>
    </w:p>
    <w:p w:rsidR="00412691" w:rsidRPr="00A45ADC" w:rsidRDefault="00412691" w:rsidP="005814E0">
      <w:pPr>
        <w:tabs>
          <w:tab w:val="left" w:pos="-720"/>
        </w:tabs>
        <w:suppressAutoHyphens/>
        <w:spacing w:line="360" w:lineRule="auto"/>
        <w:ind w:firstLine="2977"/>
        <w:jc w:val="both"/>
        <w:rPr>
          <w:b/>
          <w:bCs/>
          <w:spacing w:val="-3"/>
          <w:lang w:val="es-ES_tradnl"/>
        </w:rPr>
      </w:pPr>
      <w:r w:rsidRPr="00A45ADC">
        <w:rPr>
          <w:b/>
          <w:bCs/>
          <w:spacing w:val="-3"/>
          <w:lang w:val="es-ES_tradnl"/>
        </w:rPr>
        <w:t>3)</w:t>
      </w:r>
      <w:r w:rsidRPr="00A45ADC">
        <w:rPr>
          <w:spacing w:val="-3"/>
          <w:lang w:val="es-ES_tradnl"/>
        </w:rPr>
        <w:t xml:space="preserve"> que de acuerdo con lo previsto en el </w:t>
      </w:r>
      <w:r w:rsidR="00624A08">
        <w:rPr>
          <w:spacing w:val="-3"/>
          <w:lang w:val="es-ES_tradnl"/>
        </w:rPr>
        <w:t>N</w:t>
      </w:r>
      <w:r w:rsidRPr="00A45ADC">
        <w:rPr>
          <w:spacing w:val="-3"/>
          <w:lang w:val="es-ES_tradnl"/>
        </w:rPr>
        <w:t>umeral 4º de la Ordenanza Nº 72 de 23</w:t>
      </w:r>
      <w:r w:rsidR="000627DB">
        <w:rPr>
          <w:spacing w:val="-3"/>
          <w:lang w:val="es-ES_tradnl"/>
        </w:rPr>
        <w:t>/0</w:t>
      </w:r>
      <w:r w:rsidRPr="00A45ADC">
        <w:rPr>
          <w:spacing w:val="-3"/>
          <w:lang w:val="es-ES_tradnl"/>
        </w:rPr>
        <w:t>5</w:t>
      </w:r>
      <w:r w:rsidR="000627DB">
        <w:rPr>
          <w:spacing w:val="-3"/>
          <w:lang w:val="es-ES_tradnl"/>
        </w:rPr>
        <w:t>/</w:t>
      </w:r>
      <w:r w:rsidRPr="00A45ADC">
        <w:rPr>
          <w:spacing w:val="-3"/>
          <w:lang w:val="es-ES_tradnl"/>
        </w:rPr>
        <w:t xml:space="preserve">1996, se intervendrán conjuntamente con el pago los gastos cuyo monto no exceda el máximo fijado para la contratación directa ampliada;  </w:t>
      </w:r>
    </w:p>
    <w:p w:rsidR="00412691" w:rsidRPr="00A45ADC" w:rsidRDefault="00412691" w:rsidP="005814E0">
      <w:pPr>
        <w:tabs>
          <w:tab w:val="left" w:pos="-720"/>
        </w:tabs>
        <w:suppressAutoHyphens/>
        <w:spacing w:line="360" w:lineRule="auto"/>
        <w:ind w:firstLine="851"/>
        <w:jc w:val="both"/>
        <w:rPr>
          <w:spacing w:val="-3"/>
          <w:lang w:val="es-ES_tradnl"/>
        </w:rPr>
      </w:pPr>
      <w:r w:rsidRPr="00A45ADC">
        <w:rPr>
          <w:b/>
          <w:bCs/>
          <w:spacing w:val="-3"/>
          <w:lang w:val="es-ES_tradnl"/>
        </w:rPr>
        <w:t>ATENTO:</w:t>
      </w:r>
      <w:r w:rsidRPr="00A45ADC">
        <w:rPr>
          <w:spacing w:val="-3"/>
          <w:lang w:val="es-ES_tradnl"/>
        </w:rPr>
        <w:t xml:space="preserve"> a lo precedentemente expuesto, a lo dispuesto por el </w:t>
      </w:r>
      <w:r w:rsidR="00624A08">
        <w:rPr>
          <w:spacing w:val="-3"/>
          <w:lang w:val="es-ES_tradnl"/>
        </w:rPr>
        <w:t xml:space="preserve">        A</w:t>
      </w:r>
      <w:r w:rsidRPr="00A45ADC">
        <w:rPr>
          <w:spacing w:val="-3"/>
          <w:lang w:val="es-ES_tradnl"/>
        </w:rPr>
        <w:t>rt</w:t>
      </w:r>
      <w:r w:rsidR="00624A08">
        <w:rPr>
          <w:spacing w:val="-3"/>
          <w:lang w:val="es-ES_tradnl"/>
        </w:rPr>
        <w:t>ículo</w:t>
      </w:r>
      <w:r w:rsidRPr="00A45ADC">
        <w:rPr>
          <w:spacing w:val="-3"/>
          <w:lang w:val="es-ES_tradnl"/>
        </w:rPr>
        <w:t xml:space="preserve"> 211 </w:t>
      </w:r>
      <w:r w:rsidR="00624A08">
        <w:rPr>
          <w:spacing w:val="-3"/>
          <w:lang w:val="es-ES_tradnl"/>
        </w:rPr>
        <w:t>L</w:t>
      </w:r>
      <w:r w:rsidRPr="00A45ADC">
        <w:rPr>
          <w:spacing w:val="-3"/>
          <w:lang w:val="es-ES_tradnl"/>
        </w:rPr>
        <w:t>it</w:t>
      </w:r>
      <w:r w:rsidR="00624A08">
        <w:rPr>
          <w:spacing w:val="-3"/>
          <w:lang w:val="es-ES_tradnl"/>
        </w:rPr>
        <w:t>eral</w:t>
      </w:r>
      <w:r w:rsidRPr="00A45ADC">
        <w:rPr>
          <w:spacing w:val="-3"/>
          <w:lang w:val="es-ES_tradnl"/>
        </w:rPr>
        <w:t xml:space="preserve"> B) de la Constitución de la República;</w:t>
      </w:r>
    </w:p>
    <w:p w:rsidR="00412691" w:rsidRDefault="00412691">
      <w:pPr>
        <w:rPr>
          <w:lang w:val="es-ES_tradnl"/>
        </w:rPr>
      </w:pPr>
    </w:p>
    <w:p w:rsidR="005814E0" w:rsidRPr="00A45ADC" w:rsidRDefault="005814E0">
      <w:pPr>
        <w:rPr>
          <w:lang w:val="es-ES_tradnl"/>
        </w:rPr>
      </w:pPr>
    </w:p>
    <w:p w:rsidR="00412691" w:rsidRPr="00A45ADC" w:rsidRDefault="00412691">
      <w:pPr>
        <w:pStyle w:val="Ttulo1"/>
        <w:rPr>
          <w:rFonts w:ascii="Arial" w:hAnsi="Arial" w:cs="Arial"/>
        </w:rPr>
      </w:pPr>
      <w:r w:rsidRPr="00A45ADC">
        <w:rPr>
          <w:rFonts w:ascii="Arial" w:hAnsi="Arial" w:cs="Arial"/>
        </w:rPr>
        <w:lastRenderedPageBreak/>
        <w:t>EL TRIBUNAL ACUERDA</w:t>
      </w:r>
    </w:p>
    <w:p w:rsidR="00412691" w:rsidRPr="00A45ADC" w:rsidRDefault="00412691" w:rsidP="007C2134">
      <w:pPr>
        <w:numPr>
          <w:ilvl w:val="0"/>
          <w:numId w:val="1"/>
        </w:numPr>
        <w:tabs>
          <w:tab w:val="left" w:pos="-720"/>
        </w:tabs>
        <w:suppressAutoHyphens/>
        <w:spacing w:line="360" w:lineRule="auto"/>
        <w:ind w:left="284" w:hanging="284"/>
        <w:jc w:val="both"/>
        <w:rPr>
          <w:spacing w:val="-3"/>
          <w:lang w:val="es-ES_tradnl"/>
        </w:rPr>
      </w:pPr>
      <w:r w:rsidRPr="00A45ADC">
        <w:rPr>
          <w:spacing w:val="-3"/>
        </w:rPr>
        <w:t xml:space="preserve">Cometer </w:t>
      </w:r>
      <w:r w:rsidRPr="00A45ADC">
        <w:rPr>
          <w:spacing w:val="-3"/>
          <w:lang w:val="es-ES_tradnl"/>
        </w:rPr>
        <w:t xml:space="preserve">a la Contadora Delegada </w:t>
      </w:r>
      <w:r w:rsidRPr="00A45ADC">
        <w:rPr>
          <w:spacing w:val="-3"/>
        </w:rPr>
        <w:t>la intervención</w:t>
      </w:r>
      <w:r w:rsidRPr="00A45ADC">
        <w:rPr>
          <w:spacing w:val="-3"/>
          <w:lang w:val="es-ES_tradnl"/>
        </w:rPr>
        <w:t xml:space="preserve"> del gasto</w:t>
      </w:r>
      <w:r w:rsidRPr="00A45ADC">
        <w:t xml:space="preserve">, </w:t>
      </w:r>
      <w:r w:rsidRPr="00A45ADC">
        <w:rPr>
          <w:spacing w:val="-3"/>
          <w:lang w:val="es-ES_tradnl"/>
        </w:rPr>
        <w:t xml:space="preserve">conjuntamente con el pago, previo control de su imputación al </w:t>
      </w:r>
      <w:r w:rsidR="007109AC">
        <w:rPr>
          <w:spacing w:val="-3"/>
          <w:lang w:val="es-ES_tradnl"/>
        </w:rPr>
        <w:t>G</w:t>
      </w:r>
      <w:bookmarkStart w:id="0" w:name="_GoBack"/>
      <w:bookmarkEnd w:id="0"/>
      <w:r w:rsidRPr="00A45ADC">
        <w:rPr>
          <w:spacing w:val="-3"/>
          <w:lang w:val="es-ES_tradnl"/>
        </w:rPr>
        <w:t>rupo adecuado, con disponibilidad suficiente;</w:t>
      </w:r>
    </w:p>
    <w:p w:rsidR="00412691" w:rsidRPr="00A45ADC" w:rsidRDefault="00412691">
      <w:pPr>
        <w:numPr>
          <w:ilvl w:val="0"/>
          <w:numId w:val="1"/>
        </w:numPr>
        <w:tabs>
          <w:tab w:val="left" w:pos="-720"/>
        </w:tabs>
        <w:suppressAutoHyphens/>
        <w:spacing w:line="360" w:lineRule="auto"/>
        <w:jc w:val="both"/>
        <w:rPr>
          <w:spacing w:val="-3"/>
          <w:lang w:val="es-ES_tradnl"/>
        </w:rPr>
      </w:pPr>
      <w:r w:rsidRPr="00A45ADC">
        <w:rPr>
          <w:spacing w:val="-3"/>
          <w:lang w:val="es-ES_tradnl"/>
        </w:rPr>
        <w:t>Comunicar a la Contadora Delegada; y</w:t>
      </w:r>
    </w:p>
    <w:p w:rsidR="00412691" w:rsidRPr="00A45ADC" w:rsidRDefault="00412691">
      <w:pPr>
        <w:numPr>
          <w:ilvl w:val="0"/>
          <w:numId w:val="1"/>
        </w:numPr>
        <w:tabs>
          <w:tab w:val="left" w:pos="-720"/>
        </w:tabs>
        <w:suppressAutoHyphens/>
        <w:spacing w:line="360" w:lineRule="auto"/>
        <w:jc w:val="both"/>
        <w:rPr>
          <w:spacing w:val="-3"/>
          <w:lang w:val="es-ES_tradnl"/>
        </w:rPr>
      </w:pPr>
      <w:r w:rsidRPr="00A45ADC">
        <w:rPr>
          <w:spacing w:val="-3"/>
          <w:lang w:val="es-ES_tradnl"/>
        </w:rPr>
        <w:t>Devolver las actuaciones.</w:t>
      </w:r>
    </w:p>
    <w:p w:rsidR="00412691" w:rsidRDefault="00412691" w:rsidP="007C2134">
      <w:pPr>
        <w:pStyle w:val="Textoindependiente2"/>
        <w:jc w:val="left"/>
        <w:rPr>
          <w:rFonts w:ascii="Times New Roman" w:hAnsi="Times New Roman" w:cs="Times New Roman"/>
        </w:rPr>
      </w:pPr>
    </w:p>
    <w:p w:rsidR="007C2134" w:rsidRPr="007C2134" w:rsidRDefault="007C2134" w:rsidP="007C2134">
      <w:pPr>
        <w:pStyle w:val="Textoindependiente2"/>
        <w:jc w:val="left"/>
        <w:rPr>
          <w:sz w:val="20"/>
          <w:szCs w:val="20"/>
        </w:rPr>
      </w:pPr>
      <w:proofErr w:type="spellStart"/>
      <w:proofErr w:type="gramStart"/>
      <w:r w:rsidRPr="007C2134">
        <w:t>ag</w:t>
      </w:r>
      <w:proofErr w:type="spellEnd"/>
      <w:proofErr w:type="gramEnd"/>
    </w:p>
    <w:p w:rsidR="00412691" w:rsidRDefault="00412691">
      <w:pPr>
        <w:rPr>
          <w:rFonts w:ascii="Times New Roman" w:hAnsi="Times New Roman" w:cs="Times New Roman"/>
        </w:rPr>
      </w:pPr>
    </w:p>
    <w:sectPr w:rsidR="00412691" w:rsidSect="00CD772C">
      <w:headerReference w:type="default" r:id="rId8"/>
      <w:footerReference w:type="default" r:id="rId9"/>
      <w:pgSz w:w="11907" w:h="16840" w:code="9"/>
      <w:pgMar w:top="3289" w:right="1701" w:bottom="1134" w:left="1701" w:header="0" w:footer="0" w:gutter="0"/>
      <w:paperSrc w:first="4" w:other="4"/>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E0" w:rsidRDefault="005814E0">
      <w:pPr>
        <w:rPr>
          <w:rFonts w:ascii="Times New Roman" w:hAnsi="Times New Roman" w:cs="Times New Roman"/>
        </w:rPr>
      </w:pPr>
      <w:r>
        <w:rPr>
          <w:rFonts w:ascii="Times New Roman" w:hAnsi="Times New Roman" w:cs="Times New Roman"/>
        </w:rPr>
        <w:separator/>
      </w:r>
    </w:p>
  </w:endnote>
  <w:endnote w:type="continuationSeparator" w:id="0">
    <w:p w:rsidR="005814E0" w:rsidRDefault="005814E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154007"/>
      <w:docPartObj>
        <w:docPartGallery w:val="Page Numbers (Bottom of Page)"/>
        <w:docPartUnique/>
      </w:docPartObj>
    </w:sdtPr>
    <w:sdtEndPr/>
    <w:sdtContent>
      <w:p w:rsidR="00BC6D22" w:rsidRDefault="00BC6D22">
        <w:pPr>
          <w:pStyle w:val="Piedepgina"/>
          <w:jc w:val="center"/>
        </w:pPr>
        <w:r>
          <w:fldChar w:fldCharType="begin"/>
        </w:r>
        <w:r>
          <w:instrText>PAGE   \* MERGEFORMAT</w:instrText>
        </w:r>
        <w:r>
          <w:fldChar w:fldCharType="separate"/>
        </w:r>
        <w:r w:rsidR="007109AC">
          <w:rPr>
            <w:noProof/>
          </w:rPr>
          <w:t>3</w:t>
        </w:r>
        <w:r>
          <w:fldChar w:fldCharType="end"/>
        </w:r>
      </w:p>
    </w:sdtContent>
  </w:sdt>
  <w:p w:rsidR="005814E0" w:rsidRDefault="005814E0" w:rsidP="00BC6D22">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E0" w:rsidRDefault="005814E0">
      <w:pPr>
        <w:rPr>
          <w:rFonts w:ascii="Times New Roman" w:hAnsi="Times New Roman" w:cs="Times New Roman"/>
        </w:rPr>
      </w:pPr>
      <w:r>
        <w:rPr>
          <w:rFonts w:ascii="Times New Roman" w:hAnsi="Times New Roman" w:cs="Times New Roman"/>
        </w:rPr>
        <w:separator/>
      </w:r>
    </w:p>
  </w:footnote>
  <w:footnote w:type="continuationSeparator" w:id="0">
    <w:p w:rsidR="005814E0" w:rsidRDefault="005814E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E0" w:rsidRDefault="005814E0">
    <w:pPr>
      <w:suppressAutoHyphens/>
      <w:jc w:val="both"/>
      <w:rPr>
        <w:rFonts w:ascii="Times New Roman" w:hAnsi="Times New Roman" w:cs="Times New Roman"/>
      </w:rPr>
    </w:pPr>
    <w:r>
      <w:rPr>
        <w:noProof/>
        <w:lang w:val="es-UY" w:eastAsia="es-UY"/>
      </w:rPr>
      <mc:AlternateContent>
        <mc:Choice Requires="wps">
          <w:drawing>
            <wp:anchor distT="0" distB="0" distL="114300" distR="114300" simplePos="0" relativeHeight="251660288" behindDoc="0" locked="0" layoutInCell="0" allowOverlap="1" wp14:anchorId="5845F773" wp14:editId="0F32E453">
              <wp:simplePos x="0" y="0"/>
              <wp:positionH relativeFrom="page">
                <wp:posOffset>1079500</wp:posOffset>
              </wp:positionH>
              <wp:positionV relativeFrom="paragraph">
                <wp:posOffset>0</wp:posOffset>
              </wp:positionV>
              <wp:extent cx="5356860" cy="152400"/>
              <wp:effectExtent l="3175" t="0" r="254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68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814E0" w:rsidRDefault="005814E0">
                          <w:pPr>
                            <w:tabs>
                              <w:tab w:val="center" w:pos="4218"/>
                              <w:tab w:val="right" w:pos="8436"/>
                            </w:tabs>
                            <w:rPr>
                              <w:rFonts w:ascii="Times New Roman" w:hAnsi="Times New Roman" w:cs="Times New Roman"/>
                              <w:spacing w:val="-3"/>
                              <w:lang w:val="es-ES_tradnl"/>
                            </w:rPr>
                          </w:pPr>
                          <w:r>
                            <w:rPr>
                              <w:rFonts w:ascii="Times New Roman" w:hAnsi="Times New Roman" w:cs="Times New Roman"/>
                            </w:rPr>
                            <w:tab/>
                          </w:r>
                          <w:r>
                            <w:rPr>
                              <w:rFonts w:ascii="Times New Roman" w:hAnsi="Times New Roman" w:cs="Times New Roman"/>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85pt;margin-top:0;width:421.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qIrQIAAJ8FAAAOAAAAZHJzL2Uyb0RvYy54bWysVNFu0zAUfUfiHyy/Z0m6tEuipdPWNAhp&#10;wMTgA9zESSwcO9hu0w3xMXwLP8a1s3TrJiQE9CG6tq+vz7nn9J5f7DuOdlRpJkWGw5MAIypKWTHR&#10;ZPjzp8KLMdKGiIpwKWiG76jGF8vXr86HPqUz2UpeUYWgiNDp0Ge4NaZPfV+XLe2IPpE9FXBYS9UR&#10;A0vV+JUiA1TvuD8LgoU/SFX1SpZUa9jNx0O8dPXrmpbmQ11rahDPMGAz7qvcd2O//vKcpI0ifcvK&#10;BxjkL1B0hAl49FAqJ4agrWIvSnWsVFLL2pyUsvNlXbOSOg7AJgyesbltSU8dF2iO7g9t0v+vbPl+&#10;d6MQq0A7jATpQKKP0LSfP0Sz5RKFtkFDr1PIu+1vlKWo+2tZftFIyFVLREMvlZJDS0kFsFy+f3TB&#10;LjRcRZvhnaygPtka6Xq1r1VnC0IX0N5JcneQhO4NKmFzfjpfxAtQroSzcD6LAqeZT9Lpdq+0eUNl&#10;h2yQYQXoXXWyu9YG0EPqlGIfE7JgnDvZuTjagMRxB96Gq/bMonAqfkuCZB2v48iLZou1FwV57l0W&#10;q8hbFOHZPD/NV6s8/G7fDaO0ZVVFhX1mclQY/ZliD94evXDwlJacVbachaRVs1lxhXYEHF24n9UI&#10;wD9J849huGPg8oxSCN28miVesYjPvKiI5l5yFsReECZXySKIkigvjildM0H/nRIarMqOy2+JBe73&#10;khhJO2ZgYHDWZTg+JJHU+m8tKqerIYyP8ZM+WOyPfYB2TSo7t1qDjkY3+80eqljXbmR1B75VEmwF&#10;DoQpB0Er1T1GA0yMDOuvW6IoRvytAO/b8TIFago2U0BECVczbDAaw5UZx9C2V6xpoXLoeiLkJfw/&#10;auas+4gCoNsFTAFH4mFi2THzdO2yHufq8hcAAAD//wMAUEsDBBQABgAIAAAAIQDyqZEo3QAAAAgB&#10;AAAPAAAAZHJzL2Rvd25yZXYueG1sTI/BTsMwEETvSPyDtUjcqN2CAoQ4FWoUCW60cOHmxksSEa+T&#10;2E3C37M9wWWl0Yxm32TbxXViwjG0njSsVwoEUuVtS7WGj/fy5gFEiIas6Tyhhh8MsM0vLzKTWj/T&#10;HqdDrAWXUEiNhibGPpUyVA06E1a+R2Lvy4/ORJZjLe1oZi53ndwolUhnWuIPjelx12D1fTg5DcWY&#10;2DLsXory8XMu4uvbMA1y0Pr6anl+AhFxiX9hOOMzOuTMdPQnskF0rO8Vb4ka+J5ttb5NQBw1bO4U&#10;yDyT/wfkvwAAAP//AwBQSwECLQAUAAYACAAAACEAtoM4kv4AAADhAQAAEwAAAAAAAAAAAAAAAAAA&#10;AAAAW0NvbnRlbnRfVHlwZXNdLnhtbFBLAQItABQABgAIAAAAIQA4/SH/1gAAAJQBAAALAAAAAAAA&#10;AAAAAAAAAC8BAABfcmVscy8ucmVsc1BLAQItABQABgAIAAAAIQCLqyqIrQIAAJ8FAAAOAAAAAAAA&#10;AAAAAAAAAC4CAABkcnMvZTJvRG9jLnhtbFBLAQItABQABgAIAAAAIQDyqZEo3QAAAAgBAAAPAAAA&#10;AAAAAAAAAAAAAAcFAABkcnMvZG93bnJldi54bWxQSwUGAAAAAAQABADzAAAAEQYAAAAA&#10;" o:allowincell="f" filled="f" stroked="f" strokeweight="0">
              <v:textbox inset="0,0,0,0">
                <w:txbxContent>
                  <w:p w:rsidR="005814E0" w:rsidRDefault="005814E0">
                    <w:pPr>
                      <w:tabs>
                        <w:tab w:val="center" w:pos="4218"/>
                        <w:tab w:val="right" w:pos="8436"/>
                      </w:tabs>
                      <w:rPr>
                        <w:rFonts w:ascii="Times New Roman" w:hAnsi="Times New Roman" w:cs="Times New Roman"/>
                        <w:spacing w:val="-3"/>
                        <w:lang w:val="es-ES_tradnl"/>
                      </w:rPr>
                    </w:pPr>
                    <w:r>
                      <w:rPr>
                        <w:rFonts w:ascii="Times New Roman" w:hAnsi="Times New Roman" w:cs="Times New Roman"/>
                      </w:rPr>
                      <w:tab/>
                    </w:r>
                    <w:r>
                      <w:rPr>
                        <w:rFonts w:ascii="Times New Roman" w:hAnsi="Times New Roman" w:cs="Times New Roman"/>
                      </w:rPr>
                      <w:tab/>
                    </w:r>
                  </w:p>
                </w:txbxContent>
              </v:textbox>
              <w10:wrap anchorx="page"/>
            </v:rect>
          </w:pict>
        </mc:Fallback>
      </mc:AlternateContent>
    </w:r>
  </w:p>
  <w:p w:rsidR="005814E0" w:rsidRDefault="005814E0">
    <w:pPr>
      <w:suppressAutoHyphens/>
      <w:spacing w:after="140" w:line="100" w:lineRule="exact"/>
      <w:jc w:val="both"/>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C3D03"/>
    <w:multiLevelType w:val="singleLevel"/>
    <w:tmpl w:val="02363B74"/>
    <w:lvl w:ilvl="0">
      <w:start w:val="1"/>
      <w:numFmt w:val="decimal"/>
      <w:lvlText w:val="%1)"/>
      <w:lvlJc w:val="left"/>
      <w:pPr>
        <w:tabs>
          <w:tab w:val="num" w:pos="360"/>
        </w:tabs>
        <w:ind w:left="360" w:hanging="360"/>
      </w:pPr>
      <w:rPr>
        <w:rFonts w:ascii="Arial" w:hAnsi="Arial" w:cs="Arial"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91"/>
    <w:rsid w:val="000627DB"/>
    <w:rsid w:val="00132680"/>
    <w:rsid w:val="001F09E3"/>
    <w:rsid w:val="002124C8"/>
    <w:rsid w:val="00290BEB"/>
    <w:rsid w:val="00412691"/>
    <w:rsid w:val="005814E0"/>
    <w:rsid w:val="00624A08"/>
    <w:rsid w:val="007109AC"/>
    <w:rsid w:val="007127BA"/>
    <w:rsid w:val="007C2134"/>
    <w:rsid w:val="007F221F"/>
    <w:rsid w:val="008861FB"/>
    <w:rsid w:val="00A45ADC"/>
    <w:rsid w:val="00BC6D22"/>
    <w:rsid w:val="00CD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widowControl w:val="0"/>
      <w:tabs>
        <w:tab w:val="center" w:pos="4218"/>
      </w:tabs>
      <w:suppressAutoHyphens/>
      <w:spacing w:line="360" w:lineRule="auto"/>
      <w:jc w:val="center"/>
      <w:outlineLvl w:val="0"/>
    </w:pPr>
    <w:rPr>
      <w:rFonts w:ascii="Bookman Old Style" w:hAnsi="Bookman Old Style" w:cs="Bookman Old Style"/>
      <w:b/>
      <w:bCs/>
      <w:spacing w:val="-3"/>
      <w:lang w:val="es-ES_tradnl"/>
    </w:rPr>
  </w:style>
  <w:style w:type="paragraph" w:styleId="Ttulo2">
    <w:name w:val="heading 2"/>
    <w:basedOn w:val="Normal"/>
    <w:next w:val="Normal"/>
    <w:link w:val="Ttulo2Car"/>
    <w:uiPriority w:val="99"/>
    <w:qFormat/>
    <w:pPr>
      <w:keepNext/>
      <w:suppressAutoHyphens/>
      <w:spacing w:line="360" w:lineRule="auto"/>
      <w:jc w:val="both"/>
      <w:outlineLvl w:val="1"/>
    </w:pPr>
    <w:rPr>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Bookman Old Style" w:hAnsi="Bookman Old Style" w:cs="Bookman Old Style"/>
      <w:b/>
      <w:bCs/>
      <w:snapToGrid w:val="0"/>
      <w:spacing w:val="-3"/>
      <w:sz w:val="20"/>
      <w:szCs w:val="20"/>
      <w:lang w:val="es-ES_tradnl" w:eastAsia="es-ES"/>
    </w:rPr>
  </w:style>
  <w:style w:type="character" w:customStyle="1" w:styleId="Ttulo2Car">
    <w:name w:val="Título 2 Car"/>
    <w:basedOn w:val="Fuentedeprrafopredeter"/>
    <w:link w:val="Ttulo2"/>
    <w:uiPriority w:val="99"/>
    <w:rPr>
      <w:rFonts w:ascii="Arial" w:hAnsi="Arial" w:cs="Arial"/>
      <w:b/>
      <w:bCs/>
      <w:spacing w:val="-3"/>
      <w:sz w:val="24"/>
      <w:szCs w:val="24"/>
      <w:lang w:val="es-ES_tradnl" w:eastAsia="es-ES"/>
    </w:rPr>
  </w:style>
  <w:style w:type="paragraph" w:styleId="Piedepgina">
    <w:name w:val="footer"/>
    <w:basedOn w:val="Normal"/>
    <w:link w:val="PiedepginaCar"/>
    <w:uiPriority w:val="99"/>
    <w:pPr>
      <w:widowControl w:val="0"/>
      <w:tabs>
        <w:tab w:val="center" w:pos="4252"/>
        <w:tab w:val="right" w:pos="8504"/>
      </w:tabs>
    </w:pPr>
    <w:rPr>
      <w:rFonts w:ascii="Courier New" w:hAnsi="Courier New" w:cs="Courier New"/>
    </w:rPr>
  </w:style>
  <w:style w:type="character" w:customStyle="1" w:styleId="PiedepginaCar">
    <w:name w:val="Pie de página Car"/>
    <w:basedOn w:val="Fuentedeprrafopredeter"/>
    <w:link w:val="Piedepgina"/>
    <w:uiPriority w:val="99"/>
    <w:rPr>
      <w:rFonts w:ascii="Courier New" w:hAnsi="Courier New" w:cs="Courier New"/>
      <w:snapToGrid w:val="0"/>
      <w:sz w:val="20"/>
      <w:szCs w:val="20"/>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extoindependiente">
    <w:name w:val="Body Text"/>
    <w:basedOn w:val="Normal"/>
    <w:link w:val="TextoindependienteCar"/>
    <w:uiPriority w:val="99"/>
    <w:pPr>
      <w:tabs>
        <w:tab w:val="left" w:pos="-720"/>
      </w:tabs>
      <w:suppressAutoHyphens/>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styleId="Textoindependiente2">
    <w:name w:val="Body Text 2"/>
    <w:basedOn w:val="Normal"/>
    <w:link w:val="Textoindependiente2Car"/>
    <w:uiPriority w:val="99"/>
    <w:pPr>
      <w:tabs>
        <w:tab w:val="left" w:pos="-720"/>
      </w:tabs>
      <w:suppressAutoHyphens/>
      <w:spacing w:line="360" w:lineRule="auto"/>
      <w:jc w:val="right"/>
    </w:pPr>
    <w:rPr>
      <w:spacing w:val="-3"/>
      <w:lang w:val="es-ES_tradnl"/>
    </w:rPr>
  </w:style>
  <w:style w:type="character" w:customStyle="1" w:styleId="Textoindependiente2Car">
    <w:name w:val="Texto independiente 2 Car"/>
    <w:basedOn w:val="Fuentedeprrafopredeter"/>
    <w:link w:val="Textoindependiente2"/>
    <w:uiPriority w:val="99"/>
    <w:rPr>
      <w:rFonts w:ascii="Arial" w:hAnsi="Arial" w:cs="Arial"/>
      <w:spacing w:val="-3"/>
      <w:sz w:val="24"/>
      <w:szCs w:val="24"/>
      <w:lang w:val="es-ES_tradnl" w:eastAsia="es-ES"/>
    </w:rPr>
  </w:style>
  <w:style w:type="paragraph" w:styleId="Encabezado">
    <w:name w:val="header"/>
    <w:basedOn w:val="Normal"/>
    <w:link w:val="EncabezadoCar"/>
    <w:uiPriority w:val="99"/>
    <w:unhideWhenUsed/>
    <w:rsid w:val="00624A08"/>
    <w:pPr>
      <w:tabs>
        <w:tab w:val="center" w:pos="4252"/>
        <w:tab w:val="right" w:pos="8504"/>
      </w:tabs>
    </w:pPr>
  </w:style>
  <w:style w:type="character" w:customStyle="1" w:styleId="EncabezadoCar">
    <w:name w:val="Encabezado Car"/>
    <w:basedOn w:val="Fuentedeprrafopredeter"/>
    <w:link w:val="Encabezado"/>
    <w:uiPriority w:val="99"/>
    <w:rsid w:val="00624A08"/>
    <w:rPr>
      <w:rFonts w:ascii="Arial"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widowControl w:val="0"/>
      <w:tabs>
        <w:tab w:val="center" w:pos="4218"/>
      </w:tabs>
      <w:suppressAutoHyphens/>
      <w:spacing w:line="360" w:lineRule="auto"/>
      <w:jc w:val="center"/>
      <w:outlineLvl w:val="0"/>
    </w:pPr>
    <w:rPr>
      <w:rFonts w:ascii="Bookman Old Style" w:hAnsi="Bookman Old Style" w:cs="Bookman Old Style"/>
      <w:b/>
      <w:bCs/>
      <w:spacing w:val="-3"/>
      <w:lang w:val="es-ES_tradnl"/>
    </w:rPr>
  </w:style>
  <w:style w:type="paragraph" w:styleId="Ttulo2">
    <w:name w:val="heading 2"/>
    <w:basedOn w:val="Normal"/>
    <w:next w:val="Normal"/>
    <w:link w:val="Ttulo2Car"/>
    <w:uiPriority w:val="99"/>
    <w:qFormat/>
    <w:pPr>
      <w:keepNext/>
      <w:suppressAutoHyphens/>
      <w:spacing w:line="360" w:lineRule="auto"/>
      <w:jc w:val="both"/>
      <w:outlineLvl w:val="1"/>
    </w:pPr>
    <w:rPr>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Bookman Old Style" w:hAnsi="Bookman Old Style" w:cs="Bookman Old Style"/>
      <w:b/>
      <w:bCs/>
      <w:snapToGrid w:val="0"/>
      <w:spacing w:val="-3"/>
      <w:sz w:val="20"/>
      <w:szCs w:val="20"/>
      <w:lang w:val="es-ES_tradnl" w:eastAsia="es-ES"/>
    </w:rPr>
  </w:style>
  <w:style w:type="character" w:customStyle="1" w:styleId="Ttulo2Car">
    <w:name w:val="Título 2 Car"/>
    <w:basedOn w:val="Fuentedeprrafopredeter"/>
    <w:link w:val="Ttulo2"/>
    <w:uiPriority w:val="99"/>
    <w:rPr>
      <w:rFonts w:ascii="Arial" w:hAnsi="Arial" w:cs="Arial"/>
      <w:b/>
      <w:bCs/>
      <w:spacing w:val="-3"/>
      <w:sz w:val="24"/>
      <w:szCs w:val="24"/>
      <w:lang w:val="es-ES_tradnl" w:eastAsia="es-ES"/>
    </w:rPr>
  </w:style>
  <w:style w:type="paragraph" w:styleId="Piedepgina">
    <w:name w:val="footer"/>
    <w:basedOn w:val="Normal"/>
    <w:link w:val="PiedepginaCar"/>
    <w:uiPriority w:val="99"/>
    <w:pPr>
      <w:widowControl w:val="0"/>
      <w:tabs>
        <w:tab w:val="center" w:pos="4252"/>
        <w:tab w:val="right" w:pos="8504"/>
      </w:tabs>
    </w:pPr>
    <w:rPr>
      <w:rFonts w:ascii="Courier New" w:hAnsi="Courier New" w:cs="Courier New"/>
    </w:rPr>
  </w:style>
  <w:style w:type="character" w:customStyle="1" w:styleId="PiedepginaCar">
    <w:name w:val="Pie de página Car"/>
    <w:basedOn w:val="Fuentedeprrafopredeter"/>
    <w:link w:val="Piedepgina"/>
    <w:uiPriority w:val="99"/>
    <w:rPr>
      <w:rFonts w:ascii="Courier New" w:hAnsi="Courier New" w:cs="Courier New"/>
      <w:snapToGrid w:val="0"/>
      <w:sz w:val="20"/>
      <w:szCs w:val="20"/>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extoindependiente">
    <w:name w:val="Body Text"/>
    <w:basedOn w:val="Normal"/>
    <w:link w:val="TextoindependienteCar"/>
    <w:uiPriority w:val="99"/>
    <w:pPr>
      <w:tabs>
        <w:tab w:val="left" w:pos="-720"/>
      </w:tabs>
      <w:suppressAutoHyphens/>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styleId="Textoindependiente2">
    <w:name w:val="Body Text 2"/>
    <w:basedOn w:val="Normal"/>
    <w:link w:val="Textoindependiente2Car"/>
    <w:uiPriority w:val="99"/>
    <w:pPr>
      <w:tabs>
        <w:tab w:val="left" w:pos="-720"/>
      </w:tabs>
      <w:suppressAutoHyphens/>
      <w:spacing w:line="360" w:lineRule="auto"/>
      <w:jc w:val="right"/>
    </w:pPr>
    <w:rPr>
      <w:spacing w:val="-3"/>
      <w:lang w:val="es-ES_tradnl"/>
    </w:rPr>
  </w:style>
  <w:style w:type="character" w:customStyle="1" w:styleId="Textoindependiente2Car">
    <w:name w:val="Texto independiente 2 Car"/>
    <w:basedOn w:val="Fuentedeprrafopredeter"/>
    <w:link w:val="Textoindependiente2"/>
    <w:uiPriority w:val="99"/>
    <w:rPr>
      <w:rFonts w:ascii="Arial" w:hAnsi="Arial" w:cs="Arial"/>
      <w:spacing w:val="-3"/>
      <w:sz w:val="24"/>
      <w:szCs w:val="24"/>
      <w:lang w:val="es-ES_tradnl" w:eastAsia="es-ES"/>
    </w:rPr>
  </w:style>
  <w:style w:type="paragraph" w:styleId="Encabezado">
    <w:name w:val="header"/>
    <w:basedOn w:val="Normal"/>
    <w:link w:val="EncabezadoCar"/>
    <w:uiPriority w:val="99"/>
    <w:unhideWhenUsed/>
    <w:rsid w:val="00624A08"/>
    <w:pPr>
      <w:tabs>
        <w:tab w:val="center" w:pos="4252"/>
        <w:tab w:val="right" w:pos="8504"/>
      </w:tabs>
    </w:pPr>
  </w:style>
  <w:style w:type="character" w:customStyle="1" w:styleId="EncabezadoCar">
    <w:name w:val="Encabezado Car"/>
    <w:basedOn w:val="Fuentedeprrafopredeter"/>
    <w:link w:val="Encabezado"/>
    <w:uiPriority w:val="99"/>
    <w:rsid w:val="00624A08"/>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591</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CARPETA Nº 2014-17-1-0005669</vt:lpstr>
    </vt:vector>
  </TitlesOfParts>
  <Company>Tribunal de Cuentas</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2014-17-1-0005669</dc:title>
  <dc:subject/>
  <dc:creator>39684641</dc:creator>
  <cp:keywords/>
  <dc:description/>
  <cp:lastModifiedBy>Tribunal1</cp:lastModifiedBy>
  <cp:revision>17</cp:revision>
  <cp:lastPrinted>2014-08-04T18:30:00Z</cp:lastPrinted>
  <dcterms:created xsi:type="dcterms:W3CDTF">2014-08-04T17:40:00Z</dcterms:created>
  <dcterms:modified xsi:type="dcterms:W3CDTF">2014-08-04T19:16:00Z</dcterms:modified>
</cp:coreProperties>
</file>