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C25" w:rsidRDefault="00110C25">
      <w:pPr>
        <w:pStyle w:val="Ttulo"/>
        <w:rPr>
          <w:rFonts w:ascii="Arial" w:hAnsi="Arial"/>
        </w:rPr>
      </w:pPr>
      <w:bookmarkStart w:id="0" w:name="_GoBack"/>
      <w:bookmarkEnd w:id="0"/>
      <w:r>
        <w:rPr>
          <w:rFonts w:ascii="Arial" w:hAnsi="Arial"/>
        </w:rPr>
        <w:t>LA PRESIDENTE DEL TRIBUNAL DE CUENTAS</w:t>
      </w:r>
    </w:p>
    <w:p w:rsidR="00110C25" w:rsidRDefault="00110C25">
      <w:pPr>
        <w:spacing w:line="360" w:lineRule="auto"/>
        <w:jc w:val="center"/>
        <w:rPr>
          <w:b/>
          <w:lang w:val="es-MX"/>
        </w:rPr>
      </w:pPr>
      <w:r>
        <w:rPr>
          <w:b/>
          <w:lang w:val="es-MX"/>
        </w:rPr>
        <w:t>DE ACUERDO CON EL ARTÍCULO 10</w:t>
      </w:r>
    </w:p>
    <w:p w:rsidR="00110C25" w:rsidRDefault="00110C25">
      <w:pPr>
        <w:spacing w:line="360" w:lineRule="auto"/>
        <w:jc w:val="center"/>
        <w:rPr>
          <w:b/>
          <w:lang w:val="es-MX"/>
        </w:rPr>
      </w:pPr>
      <w:r>
        <w:rPr>
          <w:b/>
          <w:lang w:val="es-MX"/>
        </w:rPr>
        <w:t>DEL REGLAMENTO INTERNO</w:t>
      </w:r>
    </w:p>
    <w:p w:rsidR="00110C25" w:rsidRDefault="00110C25">
      <w:pPr>
        <w:spacing w:line="360" w:lineRule="auto"/>
        <w:jc w:val="center"/>
        <w:rPr>
          <w:b/>
          <w:lang w:val="es-MX"/>
        </w:rPr>
      </w:pPr>
      <w:r>
        <w:rPr>
          <w:b/>
          <w:lang w:val="es-MX"/>
        </w:rPr>
        <w:t>CON  FECHA 11 DE JULIO DE  2014</w:t>
      </w:r>
    </w:p>
    <w:p w:rsidR="00110C25" w:rsidRDefault="00110C25">
      <w:pPr>
        <w:spacing w:line="360" w:lineRule="auto"/>
        <w:jc w:val="center"/>
        <w:rPr>
          <w:b/>
          <w:lang w:val="es-MX"/>
        </w:rPr>
      </w:pPr>
      <w:r>
        <w:rPr>
          <w:b/>
          <w:lang w:val="es-MX"/>
        </w:rPr>
        <w:t>ADOPTO LA SIGUIENTE RESOLUCION</w:t>
      </w:r>
    </w:p>
    <w:p w:rsidR="00110C25" w:rsidRDefault="00110C25">
      <w:pPr>
        <w:spacing w:line="360" w:lineRule="auto"/>
        <w:jc w:val="center"/>
        <w:rPr>
          <w:b/>
          <w:lang w:val="es-MX"/>
        </w:rPr>
      </w:pPr>
      <w:r>
        <w:rPr>
          <w:b/>
          <w:lang w:val="es-MX"/>
        </w:rPr>
        <w:t>(E.E. 2012-17-1-0001055, Es. 3638 y 3639/14)</w:t>
      </w:r>
    </w:p>
    <w:p w:rsidR="00292C4D" w:rsidRDefault="00292C4D" w:rsidP="00292C4D">
      <w:pPr>
        <w:pStyle w:val="Piedepgina"/>
        <w:tabs>
          <w:tab w:val="clear" w:pos="4252"/>
          <w:tab w:val="clear" w:pos="8504"/>
        </w:tabs>
      </w:pPr>
    </w:p>
    <w:p w:rsidR="00292C4D" w:rsidRDefault="00292C4D" w:rsidP="00110C25">
      <w:pPr>
        <w:spacing w:line="360" w:lineRule="auto"/>
        <w:ind w:firstLine="851"/>
        <w:jc w:val="both"/>
        <w:rPr>
          <w:rFonts w:cs="Arial"/>
        </w:rPr>
      </w:pPr>
      <w:r>
        <w:rPr>
          <w:rFonts w:cs="Arial"/>
          <w:b/>
          <w:bCs/>
        </w:rPr>
        <w:t>VISTO:</w:t>
      </w:r>
      <w:r>
        <w:rPr>
          <w:rFonts w:cs="Arial"/>
        </w:rPr>
        <w:t xml:space="preserve"> los antecedentes remitidos por el Ministerio de Educación y Cultura, relacionados con la transferencia a realizarse al Fondo de Desarrollo Artístico y Cultural del SODRE;</w:t>
      </w:r>
    </w:p>
    <w:p w:rsidR="00110C25" w:rsidRDefault="00292C4D" w:rsidP="00110C25">
      <w:pPr>
        <w:pStyle w:val="Sangradetextonormal"/>
        <w:widowControl w:val="0"/>
        <w:ind w:firstLine="851"/>
        <w:jc w:val="both"/>
        <w:rPr>
          <w:rFonts w:cs="Arial"/>
        </w:rPr>
      </w:pPr>
      <w:r>
        <w:rPr>
          <w:rFonts w:cs="Arial"/>
          <w:b/>
          <w:bCs/>
        </w:rPr>
        <w:t>RESULTANDO: 1)</w:t>
      </w:r>
      <w:r w:rsidR="00110C25">
        <w:rPr>
          <w:rFonts w:cs="Arial"/>
        </w:rPr>
        <w:t xml:space="preserve"> que con fecha 3 de se</w:t>
      </w:r>
      <w:r>
        <w:rPr>
          <w:rFonts w:cs="Arial"/>
        </w:rPr>
        <w:t>tiembre de 2012, se celebró un contrato de fideicomiso entre el Servicio Oficial de Difusión Radiotelevisión y Espectáculos (SODRE) y la Corporación Nacional Financiera Administradora de Fondos de Inversión Sociedad Anónima (CONAFIN AFISA S.A), cuyo objeto es la administración de la gestión artística y</w:t>
      </w:r>
      <w:r w:rsidR="00110C25">
        <w:rPr>
          <w:rFonts w:cs="Arial"/>
        </w:rPr>
        <w:t xml:space="preserve"> cultural del O</w:t>
      </w:r>
      <w:r>
        <w:rPr>
          <w:rFonts w:cs="Arial"/>
        </w:rPr>
        <w:t>rganismo;</w:t>
      </w:r>
    </w:p>
    <w:p w:rsidR="00110C25" w:rsidRDefault="00292C4D" w:rsidP="00332E48">
      <w:pPr>
        <w:pStyle w:val="Sangradetextonormal"/>
        <w:widowControl w:val="0"/>
        <w:ind w:firstLine="2694"/>
        <w:jc w:val="both"/>
        <w:rPr>
          <w:rFonts w:cs="Arial"/>
        </w:rPr>
      </w:pPr>
      <w:r>
        <w:rPr>
          <w:rFonts w:cs="Arial"/>
          <w:b/>
          <w:bCs/>
        </w:rPr>
        <w:t>2)</w:t>
      </w:r>
      <w:r>
        <w:rPr>
          <w:rFonts w:cs="Arial"/>
        </w:rPr>
        <w:t xml:space="preserve"> que el Fondo de Afectación se integrará de confo</w:t>
      </w:r>
      <w:r w:rsidR="00110C25">
        <w:rPr>
          <w:rFonts w:cs="Arial"/>
        </w:rPr>
        <w:t>rmidad con lo dispuesto con el A</w:t>
      </w:r>
      <w:r>
        <w:rPr>
          <w:rFonts w:cs="Arial"/>
        </w:rPr>
        <w:t>rt</w:t>
      </w:r>
      <w:r w:rsidR="00110C25">
        <w:rPr>
          <w:rFonts w:cs="Arial"/>
        </w:rPr>
        <w:t>ículo</w:t>
      </w:r>
      <w:r>
        <w:rPr>
          <w:rFonts w:cs="Arial"/>
        </w:rPr>
        <w:t xml:space="preserve"> 203</w:t>
      </w:r>
      <w:r w:rsidR="00110C25">
        <w:rPr>
          <w:rFonts w:cs="Arial"/>
        </w:rPr>
        <w:t xml:space="preserve"> de la Ley 18.834, de acuerdo con el</w:t>
      </w:r>
      <w:r>
        <w:rPr>
          <w:rFonts w:cs="Arial"/>
        </w:rPr>
        <w:t xml:space="preserve"> siguiente detalle: </w:t>
      </w:r>
      <w:r w:rsidRPr="00110C25">
        <w:rPr>
          <w:rFonts w:cs="Arial"/>
          <w:b/>
        </w:rPr>
        <w:t>a)</w:t>
      </w:r>
      <w:r>
        <w:rPr>
          <w:rFonts w:cs="Arial"/>
        </w:rPr>
        <w:t xml:space="preserve"> los aportes que determine el Poder Ejecutivo, provenientes de la disminución permanente de los créditos presupuestales de gastos de funcionamiento (incluidos los correspondientes a supresiones de vacantes) e inversiones, de la Unidad Ejecutora 016 “Servicio Oficial de Difusión, Radiotelevisión y Espectáculos”, del Inciso 11 “Min</w:t>
      </w:r>
      <w:r w:rsidR="00110C25">
        <w:rPr>
          <w:rFonts w:cs="Arial"/>
        </w:rPr>
        <w:t>isterio de Educación y Cultura”;</w:t>
      </w:r>
      <w:r>
        <w:rPr>
          <w:rFonts w:cs="Arial"/>
        </w:rPr>
        <w:t xml:space="preserve"> </w:t>
      </w:r>
      <w:r w:rsidRPr="00110C25">
        <w:rPr>
          <w:rFonts w:cs="Arial"/>
          <w:b/>
        </w:rPr>
        <w:t>b)</w:t>
      </w:r>
      <w:r>
        <w:rPr>
          <w:rFonts w:cs="Arial"/>
        </w:rPr>
        <w:t xml:space="preserve"> los ingresos que se deriven de su administración y de las actividades realizadas en el marco del programa de</w:t>
      </w:r>
      <w:r w:rsidR="00110C25">
        <w:rPr>
          <w:rFonts w:cs="Arial"/>
        </w:rPr>
        <w:t xml:space="preserve"> gestión del Auditorio Nacional;</w:t>
      </w:r>
      <w:r>
        <w:rPr>
          <w:rFonts w:cs="Arial"/>
        </w:rPr>
        <w:t xml:space="preserve"> </w:t>
      </w:r>
      <w:r w:rsidRPr="00110C25">
        <w:rPr>
          <w:rFonts w:cs="Arial"/>
          <w:b/>
        </w:rPr>
        <w:t>c)</w:t>
      </w:r>
      <w:r>
        <w:rPr>
          <w:rFonts w:cs="Arial"/>
        </w:rPr>
        <w:t xml:space="preserve"> las asign</w:t>
      </w:r>
      <w:r w:rsidR="00110C25">
        <w:rPr>
          <w:rFonts w:cs="Arial"/>
        </w:rPr>
        <w:t>aciones que se otorguen en las L</w:t>
      </w:r>
      <w:r>
        <w:rPr>
          <w:rFonts w:cs="Arial"/>
        </w:rPr>
        <w:t xml:space="preserve">eyes </w:t>
      </w:r>
      <w:r w:rsidR="00110C25">
        <w:rPr>
          <w:rFonts w:cs="Arial"/>
        </w:rPr>
        <w:t>P</w:t>
      </w:r>
      <w:r>
        <w:rPr>
          <w:rFonts w:cs="Arial"/>
        </w:rPr>
        <w:t xml:space="preserve">resupuestales, </w:t>
      </w:r>
      <w:r w:rsidRPr="00110C25">
        <w:rPr>
          <w:rFonts w:cs="Arial"/>
          <w:b/>
        </w:rPr>
        <w:t>d)</w:t>
      </w:r>
      <w:r>
        <w:rPr>
          <w:rFonts w:cs="Arial"/>
        </w:rPr>
        <w:t xml:space="preserve">los </w:t>
      </w:r>
      <w:r w:rsidR="00110C25">
        <w:rPr>
          <w:rFonts w:cs="Arial"/>
        </w:rPr>
        <w:t>legados o donaciones que reciba;</w:t>
      </w:r>
      <w:r>
        <w:rPr>
          <w:rFonts w:cs="Arial"/>
        </w:rPr>
        <w:t xml:space="preserve"> </w:t>
      </w:r>
      <w:r w:rsidRPr="00110C25">
        <w:rPr>
          <w:rFonts w:cs="Arial"/>
          <w:b/>
        </w:rPr>
        <w:t>e)</w:t>
      </w:r>
      <w:r>
        <w:rPr>
          <w:rFonts w:cs="Arial"/>
        </w:rPr>
        <w:t xml:space="preserve"> los aportes que provengan de personas físicas o jurídicas, públicas o privadas, así como también, todos aquellos aportes que provengan de cooperación interinstitucional, nacional e internacional (Cláusula Primera), así como los bienes que sustituyen a otros por inversiones, administración o disposición y las utilidades, frutos y productos </w:t>
      </w:r>
      <w:r>
        <w:rPr>
          <w:rFonts w:cs="Arial"/>
        </w:rPr>
        <w:lastRenderedPageBreak/>
        <w:t>que generen los bienes que ingresen (Cláusula Cuarta), los que se depositarán en una o varias cuentas del BROU abierta para el fideicomiso con la identificación “Fideicomiso SODRE”, a nombre de la fiduciaria, en las monedas que el Fideicomi</w:t>
      </w:r>
      <w:r w:rsidR="00110C25">
        <w:rPr>
          <w:rFonts w:cs="Arial"/>
        </w:rPr>
        <w:t>tente disponga (Cláusula 18ª);</w:t>
      </w:r>
    </w:p>
    <w:p w:rsidR="00110C25" w:rsidRDefault="00292C4D" w:rsidP="00332E48">
      <w:pPr>
        <w:pStyle w:val="Sangradetextonormal"/>
        <w:widowControl w:val="0"/>
        <w:ind w:firstLine="2694"/>
        <w:jc w:val="both"/>
        <w:rPr>
          <w:rFonts w:cs="Arial"/>
        </w:rPr>
      </w:pPr>
      <w:r>
        <w:rPr>
          <w:rFonts w:cs="Arial"/>
          <w:b/>
          <w:bCs/>
        </w:rPr>
        <w:t>3)</w:t>
      </w:r>
      <w:r w:rsidR="00110C25">
        <w:rPr>
          <w:rFonts w:cs="Arial"/>
        </w:rPr>
        <w:t xml:space="preserve"> que este Tribunal, en S</w:t>
      </w:r>
      <w:r>
        <w:rPr>
          <w:rFonts w:cs="Arial"/>
        </w:rPr>
        <w:t>esión de fecha 24 de octubre de 2012, acordó no formular observaciones al contrato de fideicomiso remitido, señalando que las erogaciones que se realicen en cumplimiento de las obligaciones asumidas por la Administración, deberán ser sometidas a la intervención del Tribunal de Cuentas o del Contador Delegado atendiendo a su monto;</w:t>
      </w:r>
    </w:p>
    <w:p w:rsidR="00110C25" w:rsidRDefault="00292C4D" w:rsidP="00332E48">
      <w:pPr>
        <w:pStyle w:val="Sangradetextonormal"/>
        <w:widowControl w:val="0"/>
        <w:ind w:firstLine="2694"/>
        <w:jc w:val="both"/>
        <w:rPr>
          <w:rFonts w:cs="Arial"/>
        </w:rPr>
      </w:pPr>
      <w:r>
        <w:rPr>
          <w:rFonts w:cs="Arial"/>
          <w:b/>
          <w:bCs/>
        </w:rPr>
        <w:t xml:space="preserve">4) </w:t>
      </w:r>
      <w:r>
        <w:rPr>
          <w:rFonts w:cs="Arial"/>
        </w:rPr>
        <w:t xml:space="preserve">que en la oportunidad, se remiten Resoluciones Nos.  539/14 y 540/14 del Consejo Directivo del SODRE, ambas de fecha 17 de junio de 2014, mediante </w:t>
      </w:r>
      <w:r w:rsidR="00110C25">
        <w:rPr>
          <w:rFonts w:cs="Arial"/>
        </w:rPr>
        <w:t xml:space="preserve">las cuales se autoriza ad </w:t>
      </w:r>
      <w:proofErr w:type="spellStart"/>
      <w:r w:rsidR="00110C25">
        <w:rPr>
          <w:rFonts w:cs="Arial"/>
        </w:rPr>
        <w:t>refere</w:t>
      </w:r>
      <w:r>
        <w:rPr>
          <w:rFonts w:cs="Arial"/>
        </w:rPr>
        <w:t>ndum</w:t>
      </w:r>
      <w:proofErr w:type="spellEnd"/>
      <w:r>
        <w:rPr>
          <w:rFonts w:cs="Arial"/>
        </w:rPr>
        <w:t xml:space="preserve"> del Tribunal de Cuentas, la transferencia d</w:t>
      </w:r>
      <w:r w:rsidR="00110C25">
        <w:rPr>
          <w:rFonts w:cs="Arial"/>
        </w:rPr>
        <w:t>e fondos por los montos de $ 37:307.621 y $28:</w:t>
      </w:r>
      <w:r>
        <w:rPr>
          <w:rFonts w:cs="Arial"/>
        </w:rPr>
        <w:t>866.498 respectivamente, con destino al Fondo de Desarrollo Artístico y Cultural del SODRE, administrado por CONAFIN AFISA, cuenta corri</w:t>
      </w:r>
      <w:r w:rsidR="00110C25">
        <w:rPr>
          <w:rFonts w:cs="Arial"/>
        </w:rPr>
        <w:t>ente del  BROU Nº 152-0059523;</w:t>
      </w:r>
    </w:p>
    <w:p w:rsidR="00292C4D" w:rsidRDefault="00292C4D" w:rsidP="00332E48">
      <w:pPr>
        <w:pStyle w:val="Sangradetextonormal"/>
        <w:widowControl w:val="0"/>
        <w:ind w:firstLine="2694"/>
        <w:jc w:val="both"/>
        <w:rPr>
          <w:rFonts w:cs="Arial"/>
          <w:highlight w:val="yellow"/>
        </w:rPr>
      </w:pPr>
      <w:r>
        <w:rPr>
          <w:rFonts w:cs="Arial"/>
          <w:b/>
          <w:bCs/>
        </w:rPr>
        <w:t>5)</w:t>
      </w:r>
      <w:r>
        <w:rPr>
          <w:rFonts w:cs="Arial"/>
        </w:rPr>
        <w:t xml:space="preserve"> que se adjuntan documentos de afectación Nos 000605 y 000606, ambos de fecha 17 de junio de 2014 por las sumas indicadas, con cargo al Programa 280, Proyecto 000, Objeto del Gasto 591, Unidad Ejecutora 016 “SODRE”, del Inciso 11 “Ministerio de Educación y Cultura”;</w:t>
      </w:r>
    </w:p>
    <w:p w:rsidR="00292C4D" w:rsidRDefault="00292C4D" w:rsidP="00110C25">
      <w:pPr>
        <w:pStyle w:val="Ttulo3"/>
        <w:ind w:firstLine="851"/>
        <w:jc w:val="both"/>
        <w:rPr>
          <w:b w:val="0"/>
          <w:bCs w:val="0"/>
          <w:i w:val="0"/>
          <w:iCs w:val="0"/>
          <w:sz w:val="24"/>
          <w:highlight w:val="yellow"/>
        </w:rPr>
      </w:pPr>
      <w:r>
        <w:rPr>
          <w:i w:val="0"/>
          <w:iCs w:val="0"/>
          <w:sz w:val="24"/>
        </w:rPr>
        <w:t>CONSIDERANDO:</w:t>
      </w:r>
      <w:r w:rsidR="00110C25">
        <w:rPr>
          <w:b w:val="0"/>
          <w:bCs w:val="0"/>
          <w:i w:val="0"/>
          <w:iCs w:val="0"/>
          <w:sz w:val="24"/>
        </w:rPr>
        <w:t xml:space="preserve"> </w:t>
      </w:r>
      <w:r>
        <w:rPr>
          <w:b w:val="0"/>
          <w:bCs w:val="0"/>
          <w:i w:val="0"/>
          <w:iCs w:val="0"/>
          <w:sz w:val="24"/>
        </w:rPr>
        <w:t xml:space="preserve">que la transferencia dispuesta en la presente oportunidad, encuadra en lo establecido en  el contrato de fideicomiso celebrado entre las partes con fecha 3 de setiembre de 2012, al amparo del </w:t>
      </w:r>
      <w:r w:rsidR="00110C25">
        <w:rPr>
          <w:b w:val="0"/>
          <w:bCs w:val="0"/>
          <w:i w:val="0"/>
          <w:iCs w:val="0"/>
          <w:sz w:val="24"/>
        </w:rPr>
        <w:t>A</w:t>
      </w:r>
      <w:r>
        <w:rPr>
          <w:b w:val="0"/>
          <w:bCs w:val="0"/>
          <w:i w:val="0"/>
          <w:iCs w:val="0"/>
          <w:sz w:val="24"/>
        </w:rPr>
        <w:t>rtículo 203 de la Ley 18.834, y que fuera intervenido oportunamente por este Tribunal;</w:t>
      </w:r>
    </w:p>
    <w:p w:rsidR="00292C4D" w:rsidRDefault="00292C4D" w:rsidP="00110C25">
      <w:pPr>
        <w:pStyle w:val="Textoindependiente"/>
        <w:ind w:firstLine="851"/>
        <w:rPr>
          <w:rFonts w:ascii="Arial" w:hAnsi="Arial" w:cs="Arial"/>
        </w:rPr>
      </w:pPr>
      <w:r>
        <w:rPr>
          <w:rFonts w:ascii="Arial" w:hAnsi="Arial" w:cs="Arial"/>
          <w:b/>
          <w:bCs/>
        </w:rPr>
        <w:t xml:space="preserve">ATENTO: </w:t>
      </w:r>
      <w:r>
        <w:rPr>
          <w:rFonts w:ascii="Arial" w:hAnsi="Arial" w:cs="Arial"/>
        </w:rPr>
        <w:t>a lo precedentemente expu</w:t>
      </w:r>
      <w:r w:rsidR="00110C25">
        <w:rPr>
          <w:rFonts w:ascii="Arial" w:hAnsi="Arial" w:cs="Arial"/>
        </w:rPr>
        <w:t>esto y a lo determinado por el A</w:t>
      </w:r>
      <w:r>
        <w:rPr>
          <w:rFonts w:ascii="Arial" w:hAnsi="Arial" w:cs="Arial"/>
        </w:rPr>
        <w:t>rt</w:t>
      </w:r>
      <w:r w:rsidR="00110C25">
        <w:rPr>
          <w:rFonts w:ascii="Arial" w:hAnsi="Arial" w:cs="Arial"/>
        </w:rPr>
        <w:t>ículo 211 L</w:t>
      </w:r>
      <w:r>
        <w:rPr>
          <w:rFonts w:ascii="Arial" w:hAnsi="Arial" w:cs="Arial"/>
        </w:rPr>
        <w:t>iteral B) de la Constitución de la República;</w:t>
      </w:r>
    </w:p>
    <w:p w:rsidR="00110C25" w:rsidRDefault="00110C25" w:rsidP="00292C4D">
      <w:pPr>
        <w:pStyle w:val="Textoindependiente"/>
        <w:jc w:val="center"/>
        <w:rPr>
          <w:rFonts w:ascii="Arial" w:hAnsi="Arial" w:cs="Arial"/>
          <w:b/>
        </w:rPr>
      </w:pPr>
    </w:p>
    <w:p w:rsidR="00292C4D" w:rsidRDefault="00292C4D" w:rsidP="00292C4D">
      <w:pPr>
        <w:pStyle w:val="Textoindependiente"/>
        <w:jc w:val="center"/>
        <w:rPr>
          <w:rFonts w:ascii="Arial" w:hAnsi="Arial" w:cs="Arial"/>
          <w:b/>
        </w:rPr>
      </w:pPr>
      <w:r>
        <w:rPr>
          <w:rFonts w:ascii="Arial" w:hAnsi="Arial" w:cs="Arial"/>
          <w:b/>
        </w:rPr>
        <w:t>EL TRIBUNAL ACUERDA</w:t>
      </w:r>
    </w:p>
    <w:p w:rsidR="00292C4D" w:rsidRDefault="00074051" w:rsidP="00292C4D">
      <w:pPr>
        <w:numPr>
          <w:ilvl w:val="0"/>
          <w:numId w:val="1"/>
        </w:numPr>
        <w:spacing w:line="360" w:lineRule="auto"/>
        <w:jc w:val="both"/>
        <w:rPr>
          <w:rFonts w:cs="Arial"/>
          <w:lang w:val="es-MX"/>
        </w:rPr>
      </w:pPr>
      <w:r>
        <w:rPr>
          <w:rFonts w:cs="Arial"/>
          <w:lang w:val="es-MX"/>
        </w:rPr>
        <w:t>Cometer al Contador Delegado en</w:t>
      </w:r>
      <w:r w:rsidR="00292C4D">
        <w:rPr>
          <w:rFonts w:cs="Arial"/>
          <w:lang w:val="es-MX"/>
        </w:rPr>
        <w:t xml:space="preserve"> el Ministerio de Educación y Cultura, la intervención de los gastos de </w:t>
      </w:r>
      <w:r w:rsidR="00110C25">
        <w:rPr>
          <w:rFonts w:cs="Arial"/>
        </w:rPr>
        <w:t>$ 37:307.621 y $ 28:</w:t>
      </w:r>
      <w:r w:rsidR="00292C4D">
        <w:rPr>
          <w:rFonts w:cs="Arial"/>
        </w:rPr>
        <w:t>866.498 a favor del Fondo de Desarrollo Artístico y Cultural del SODRE administrado por CONAFIN AFISA S.A., previo control de su imputación con cargo a rubro adecuado con disponibilidad suficiente y del cumplimiento de la rendición de cuentas de la última transferencia efe</w:t>
      </w:r>
      <w:r w:rsidR="00110C25">
        <w:rPr>
          <w:rFonts w:cs="Arial"/>
        </w:rPr>
        <w:t>ctuada, conforme lo dispone el Artículo 132 del TOCAF y el Artículo 416 de la L</w:t>
      </w:r>
      <w:r w:rsidR="00292C4D">
        <w:rPr>
          <w:rFonts w:cs="Arial"/>
        </w:rPr>
        <w:t>ey 17.930</w:t>
      </w:r>
      <w:r w:rsidR="00110C25">
        <w:rPr>
          <w:rFonts w:cs="Arial"/>
        </w:rPr>
        <w:t>;</w:t>
      </w:r>
    </w:p>
    <w:p w:rsidR="00292C4D" w:rsidRDefault="00292C4D" w:rsidP="00292C4D">
      <w:pPr>
        <w:numPr>
          <w:ilvl w:val="0"/>
          <w:numId w:val="1"/>
        </w:numPr>
        <w:spacing w:line="360" w:lineRule="auto"/>
        <w:jc w:val="both"/>
        <w:rPr>
          <w:rFonts w:cs="Arial"/>
          <w:lang w:val="es-MX"/>
        </w:rPr>
      </w:pPr>
      <w:r>
        <w:rPr>
          <w:rFonts w:cs="Arial"/>
          <w:lang w:val="es-MX"/>
        </w:rPr>
        <w:t>Comunicar a</w:t>
      </w:r>
      <w:r w:rsidR="00074051">
        <w:rPr>
          <w:rFonts w:cs="Arial"/>
          <w:lang w:val="es-MX"/>
        </w:rPr>
        <w:t>l</w:t>
      </w:r>
      <w:r>
        <w:rPr>
          <w:rFonts w:cs="Arial"/>
          <w:lang w:val="es-MX"/>
        </w:rPr>
        <w:t xml:space="preserve"> Contador </w:t>
      </w:r>
      <w:r w:rsidR="00110C25">
        <w:rPr>
          <w:rFonts w:cs="Arial"/>
          <w:lang w:val="es-MX"/>
        </w:rPr>
        <w:t>Delegado;</w:t>
      </w:r>
    </w:p>
    <w:p w:rsidR="00292C4D" w:rsidRDefault="00292C4D" w:rsidP="00292C4D">
      <w:pPr>
        <w:pStyle w:val="Textoindependiente"/>
        <w:numPr>
          <w:ilvl w:val="0"/>
          <w:numId w:val="1"/>
        </w:numPr>
        <w:rPr>
          <w:rFonts w:ascii="Arial" w:hAnsi="Arial" w:cs="Arial"/>
        </w:rPr>
      </w:pPr>
      <w:r>
        <w:rPr>
          <w:rFonts w:ascii="Arial" w:hAnsi="Arial" w:cs="Arial"/>
        </w:rPr>
        <w:t xml:space="preserve">Devolver las </w:t>
      </w:r>
      <w:r w:rsidR="00110C25">
        <w:rPr>
          <w:rFonts w:ascii="Arial" w:hAnsi="Arial" w:cs="Arial"/>
        </w:rPr>
        <w:t>actuaciones.</w:t>
      </w:r>
    </w:p>
    <w:p w:rsidR="00110C25" w:rsidRDefault="00110C25" w:rsidP="00110C25">
      <w:pPr>
        <w:pStyle w:val="Textoindependiente"/>
        <w:ind w:hanging="284"/>
        <w:rPr>
          <w:rFonts w:ascii="Arial" w:hAnsi="Arial" w:cs="Arial"/>
        </w:rPr>
      </w:pPr>
      <w:proofErr w:type="gramStart"/>
      <w:r>
        <w:rPr>
          <w:rFonts w:ascii="Arial" w:hAnsi="Arial" w:cs="Arial"/>
        </w:rPr>
        <w:t>dc</w:t>
      </w:r>
      <w:proofErr w:type="gramEnd"/>
    </w:p>
    <w:sectPr w:rsidR="00110C25" w:rsidSect="00110C25">
      <w:footerReference w:type="even" r:id="rId8"/>
      <w:footerReference w:type="default" r:id="rId9"/>
      <w:pgSz w:w="11906" w:h="16838" w:code="9"/>
      <w:pgMar w:top="3119"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57B" w:rsidRDefault="001D757B">
      <w:r>
        <w:separator/>
      </w:r>
    </w:p>
  </w:endnote>
  <w:endnote w:type="continuationSeparator" w:id="0">
    <w:p w:rsidR="001D757B" w:rsidRDefault="001D7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B4F" w:rsidRDefault="00292C4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64B4F" w:rsidRDefault="00064B4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B4F" w:rsidRDefault="00292C4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71835">
      <w:rPr>
        <w:rStyle w:val="Nmerodepgina"/>
        <w:noProof/>
      </w:rPr>
      <w:t>1</w:t>
    </w:r>
    <w:r>
      <w:rPr>
        <w:rStyle w:val="Nmerodepgina"/>
      </w:rPr>
      <w:fldChar w:fldCharType="end"/>
    </w:r>
  </w:p>
  <w:p w:rsidR="00064B4F" w:rsidRDefault="00064B4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57B" w:rsidRDefault="001D757B">
      <w:r>
        <w:separator/>
      </w:r>
    </w:p>
  </w:footnote>
  <w:footnote w:type="continuationSeparator" w:id="0">
    <w:p w:rsidR="001D757B" w:rsidRDefault="001D75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27C77"/>
    <w:multiLevelType w:val="hybridMultilevel"/>
    <w:tmpl w:val="0ADA9F9A"/>
    <w:lvl w:ilvl="0" w:tplc="6B9E1EE4">
      <w:start w:val="1"/>
      <w:numFmt w:val="decimal"/>
      <w:lvlText w:val="%1)"/>
      <w:lvlJc w:val="left"/>
      <w:pPr>
        <w:tabs>
          <w:tab w:val="num" w:pos="1077"/>
        </w:tabs>
        <w:ind w:left="1077" w:hanging="510"/>
      </w:pPr>
      <w:rPr>
        <w:rFonts w:hint="default"/>
        <w:b/>
      </w:r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C4D"/>
    <w:rsid w:val="00064B4F"/>
    <w:rsid w:val="00074051"/>
    <w:rsid w:val="00110C25"/>
    <w:rsid w:val="001D757B"/>
    <w:rsid w:val="00292C4D"/>
    <w:rsid w:val="00332E48"/>
    <w:rsid w:val="00771835"/>
    <w:rsid w:val="008E0C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C4D"/>
    <w:pPr>
      <w:spacing w:after="0" w:line="240" w:lineRule="auto"/>
    </w:pPr>
    <w:rPr>
      <w:rFonts w:ascii="Arial" w:eastAsia="Times New Roman" w:hAnsi="Arial" w:cs="Times New Roman"/>
      <w:sz w:val="24"/>
      <w:szCs w:val="24"/>
      <w:lang w:eastAsia="es-ES"/>
    </w:rPr>
  </w:style>
  <w:style w:type="paragraph" w:styleId="Ttulo1">
    <w:name w:val="heading 1"/>
    <w:basedOn w:val="Normal"/>
    <w:next w:val="Normal"/>
    <w:link w:val="Ttulo1Car"/>
    <w:qFormat/>
    <w:rsid w:val="00292C4D"/>
    <w:pPr>
      <w:keepNext/>
      <w:spacing w:line="360" w:lineRule="auto"/>
      <w:jc w:val="center"/>
      <w:outlineLvl w:val="0"/>
    </w:pPr>
    <w:rPr>
      <w:b/>
      <w:bCs/>
    </w:rPr>
  </w:style>
  <w:style w:type="paragraph" w:styleId="Ttulo3">
    <w:name w:val="heading 3"/>
    <w:basedOn w:val="Normal"/>
    <w:next w:val="Normal"/>
    <w:link w:val="Ttulo3Car"/>
    <w:qFormat/>
    <w:rsid w:val="00292C4D"/>
    <w:pPr>
      <w:keepNext/>
      <w:spacing w:line="360" w:lineRule="auto"/>
      <w:jc w:val="center"/>
      <w:outlineLvl w:val="2"/>
    </w:pPr>
    <w:rPr>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92C4D"/>
    <w:rPr>
      <w:rFonts w:ascii="Arial" w:eastAsia="Times New Roman" w:hAnsi="Arial" w:cs="Times New Roman"/>
      <w:b/>
      <w:bCs/>
      <w:sz w:val="24"/>
      <w:szCs w:val="24"/>
      <w:lang w:eastAsia="es-ES"/>
    </w:rPr>
  </w:style>
  <w:style w:type="character" w:customStyle="1" w:styleId="Ttulo3Car">
    <w:name w:val="Título 3 Car"/>
    <w:basedOn w:val="Fuentedeprrafopredeter"/>
    <w:link w:val="Ttulo3"/>
    <w:rsid w:val="00292C4D"/>
    <w:rPr>
      <w:rFonts w:ascii="Arial" w:eastAsia="Times New Roman" w:hAnsi="Arial" w:cs="Times New Roman"/>
      <w:b/>
      <w:bCs/>
      <w:i/>
      <w:iCs/>
      <w:sz w:val="28"/>
      <w:szCs w:val="24"/>
      <w:lang w:eastAsia="es-ES"/>
    </w:rPr>
  </w:style>
  <w:style w:type="paragraph" w:styleId="Textoindependiente">
    <w:name w:val="Body Text"/>
    <w:basedOn w:val="Normal"/>
    <w:link w:val="TextoindependienteCar"/>
    <w:semiHidden/>
    <w:rsid w:val="00292C4D"/>
    <w:pPr>
      <w:spacing w:line="360" w:lineRule="auto"/>
      <w:jc w:val="both"/>
    </w:pPr>
    <w:rPr>
      <w:rFonts w:ascii="Bookman Old Style" w:hAnsi="Bookman Old Style"/>
      <w:szCs w:val="20"/>
      <w:lang w:val="es-MX"/>
    </w:rPr>
  </w:style>
  <w:style w:type="character" w:customStyle="1" w:styleId="TextoindependienteCar">
    <w:name w:val="Texto independiente Car"/>
    <w:basedOn w:val="Fuentedeprrafopredeter"/>
    <w:link w:val="Textoindependiente"/>
    <w:semiHidden/>
    <w:rsid w:val="00292C4D"/>
    <w:rPr>
      <w:rFonts w:ascii="Bookman Old Style" w:eastAsia="Times New Roman" w:hAnsi="Bookman Old Style" w:cs="Times New Roman"/>
      <w:sz w:val="24"/>
      <w:szCs w:val="20"/>
      <w:lang w:val="es-MX" w:eastAsia="es-ES"/>
    </w:rPr>
  </w:style>
  <w:style w:type="paragraph" w:styleId="Sangradetextonormal">
    <w:name w:val="Body Text Indent"/>
    <w:basedOn w:val="Normal"/>
    <w:link w:val="SangradetextonormalCar"/>
    <w:semiHidden/>
    <w:rsid w:val="00292C4D"/>
    <w:pPr>
      <w:spacing w:line="360" w:lineRule="auto"/>
      <w:ind w:firstLine="1134"/>
    </w:pPr>
  </w:style>
  <w:style w:type="character" w:customStyle="1" w:styleId="SangradetextonormalCar">
    <w:name w:val="Sangría de texto normal Car"/>
    <w:basedOn w:val="Fuentedeprrafopredeter"/>
    <w:link w:val="Sangradetextonormal"/>
    <w:semiHidden/>
    <w:rsid w:val="00292C4D"/>
    <w:rPr>
      <w:rFonts w:ascii="Arial" w:eastAsia="Times New Roman" w:hAnsi="Arial" w:cs="Times New Roman"/>
      <w:sz w:val="24"/>
      <w:szCs w:val="24"/>
      <w:lang w:eastAsia="es-ES"/>
    </w:rPr>
  </w:style>
  <w:style w:type="paragraph" w:styleId="Piedepgina">
    <w:name w:val="footer"/>
    <w:basedOn w:val="Normal"/>
    <w:link w:val="PiedepginaCar"/>
    <w:semiHidden/>
    <w:rsid w:val="00292C4D"/>
    <w:pPr>
      <w:tabs>
        <w:tab w:val="center" w:pos="4252"/>
        <w:tab w:val="right" w:pos="8504"/>
      </w:tabs>
    </w:pPr>
  </w:style>
  <w:style w:type="character" w:customStyle="1" w:styleId="PiedepginaCar">
    <w:name w:val="Pie de página Car"/>
    <w:basedOn w:val="Fuentedeprrafopredeter"/>
    <w:link w:val="Piedepgina"/>
    <w:semiHidden/>
    <w:rsid w:val="00292C4D"/>
    <w:rPr>
      <w:rFonts w:ascii="Arial" w:eastAsia="Times New Roman" w:hAnsi="Arial" w:cs="Times New Roman"/>
      <w:sz w:val="24"/>
      <w:szCs w:val="24"/>
      <w:lang w:eastAsia="es-ES"/>
    </w:rPr>
  </w:style>
  <w:style w:type="character" w:styleId="Nmerodepgina">
    <w:name w:val="page number"/>
    <w:basedOn w:val="Fuentedeprrafopredeter"/>
    <w:semiHidden/>
    <w:rsid w:val="00292C4D"/>
  </w:style>
  <w:style w:type="paragraph" w:styleId="Ttulo">
    <w:name w:val="Title"/>
    <w:basedOn w:val="Normal"/>
    <w:link w:val="TtuloCar"/>
    <w:qFormat/>
    <w:rsid w:val="00110C25"/>
    <w:pPr>
      <w:spacing w:line="360" w:lineRule="auto"/>
      <w:jc w:val="center"/>
    </w:pPr>
    <w:rPr>
      <w:rFonts w:ascii="Bookman Old Style" w:hAnsi="Bookman Old Style"/>
      <w:b/>
      <w:szCs w:val="20"/>
      <w:lang w:val="es-MX"/>
    </w:rPr>
  </w:style>
  <w:style w:type="character" w:customStyle="1" w:styleId="TtuloCar">
    <w:name w:val="Título Car"/>
    <w:basedOn w:val="Fuentedeprrafopredeter"/>
    <w:link w:val="Ttulo"/>
    <w:rsid w:val="00110C25"/>
    <w:rPr>
      <w:rFonts w:ascii="Bookman Old Style" w:eastAsia="Times New Roman" w:hAnsi="Bookman Old Style" w:cs="Times New Roman"/>
      <w:b/>
      <w:sz w:val="24"/>
      <w:szCs w:val="20"/>
      <w:lang w:val="es-MX"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C4D"/>
    <w:pPr>
      <w:spacing w:after="0" w:line="240" w:lineRule="auto"/>
    </w:pPr>
    <w:rPr>
      <w:rFonts w:ascii="Arial" w:eastAsia="Times New Roman" w:hAnsi="Arial" w:cs="Times New Roman"/>
      <w:sz w:val="24"/>
      <w:szCs w:val="24"/>
      <w:lang w:eastAsia="es-ES"/>
    </w:rPr>
  </w:style>
  <w:style w:type="paragraph" w:styleId="Ttulo1">
    <w:name w:val="heading 1"/>
    <w:basedOn w:val="Normal"/>
    <w:next w:val="Normal"/>
    <w:link w:val="Ttulo1Car"/>
    <w:qFormat/>
    <w:rsid w:val="00292C4D"/>
    <w:pPr>
      <w:keepNext/>
      <w:spacing w:line="360" w:lineRule="auto"/>
      <w:jc w:val="center"/>
      <w:outlineLvl w:val="0"/>
    </w:pPr>
    <w:rPr>
      <w:b/>
      <w:bCs/>
    </w:rPr>
  </w:style>
  <w:style w:type="paragraph" w:styleId="Ttulo3">
    <w:name w:val="heading 3"/>
    <w:basedOn w:val="Normal"/>
    <w:next w:val="Normal"/>
    <w:link w:val="Ttulo3Car"/>
    <w:qFormat/>
    <w:rsid w:val="00292C4D"/>
    <w:pPr>
      <w:keepNext/>
      <w:spacing w:line="360" w:lineRule="auto"/>
      <w:jc w:val="center"/>
      <w:outlineLvl w:val="2"/>
    </w:pPr>
    <w:rPr>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92C4D"/>
    <w:rPr>
      <w:rFonts w:ascii="Arial" w:eastAsia="Times New Roman" w:hAnsi="Arial" w:cs="Times New Roman"/>
      <w:b/>
      <w:bCs/>
      <w:sz w:val="24"/>
      <w:szCs w:val="24"/>
      <w:lang w:eastAsia="es-ES"/>
    </w:rPr>
  </w:style>
  <w:style w:type="character" w:customStyle="1" w:styleId="Ttulo3Car">
    <w:name w:val="Título 3 Car"/>
    <w:basedOn w:val="Fuentedeprrafopredeter"/>
    <w:link w:val="Ttulo3"/>
    <w:rsid w:val="00292C4D"/>
    <w:rPr>
      <w:rFonts w:ascii="Arial" w:eastAsia="Times New Roman" w:hAnsi="Arial" w:cs="Times New Roman"/>
      <w:b/>
      <w:bCs/>
      <w:i/>
      <w:iCs/>
      <w:sz w:val="28"/>
      <w:szCs w:val="24"/>
      <w:lang w:eastAsia="es-ES"/>
    </w:rPr>
  </w:style>
  <w:style w:type="paragraph" w:styleId="Textoindependiente">
    <w:name w:val="Body Text"/>
    <w:basedOn w:val="Normal"/>
    <w:link w:val="TextoindependienteCar"/>
    <w:semiHidden/>
    <w:rsid w:val="00292C4D"/>
    <w:pPr>
      <w:spacing w:line="360" w:lineRule="auto"/>
      <w:jc w:val="both"/>
    </w:pPr>
    <w:rPr>
      <w:rFonts w:ascii="Bookman Old Style" w:hAnsi="Bookman Old Style"/>
      <w:szCs w:val="20"/>
      <w:lang w:val="es-MX"/>
    </w:rPr>
  </w:style>
  <w:style w:type="character" w:customStyle="1" w:styleId="TextoindependienteCar">
    <w:name w:val="Texto independiente Car"/>
    <w:basedOn w:val="Fuentedeprrafopredeter"/>
    <w:link w:val="Textoindependiente"/>
    <w:semiHidden/>
    <w:rsid w:val="00292C4D"/>
    <w:rPr>
      <w:rFonts w:ascii="Bookman Old Style" w:eastAsia="Times New Roman" w:hAnsi="Bookman Old Style" w:cs="Times New Roman"/>
      <w:sz w:val="24"/>
      <w:szCs w:val="20"/>
      <w:lang w:val="es-MX" w:eastAsia="es-ES"/>
    </w:rPr>
  </w:style>
  <w:style w:type="paragraph" w:styleId="Sangradetextonormal">
    <w:name w:val="Body Text Indent"/>
    <w:basedOn w:val="Normal"/>
    <w:link w:val="SangradetextonormalCar"/>
    <w:semiHidden/>
    <w:rsid w:val="00292C4D"/>
    <w:pPr>
      <w:spacing w:line="360" w:lineRule="auto"/>
      <w:ind w:firstLine="1134"/>
    </w:pPr>
  </w:style>
  <w:style w:type="character" w:customStyle="1" w:styleId="SangradetextonormalCar">
    <w:name w:val="Sangría de texto normal Car"/>
    <w:basedOn w:val="Fuentedeprrafopredeter"/>
    <w:link w:val="Sangradetextonormal"/>
    <w:semiHidden/>
    <w:rsid w:val="00292C4D"/>
    <w:rPr>
      <w:rFonts w:ascii="Arial" w:eastAsia="Times New Roman" w:hAnsi="Arial" w:cs="Times New Roman"/>
      <w:sz w:val="24"/>
      <w:szCs w:val="24"/>
      <w:lang w:eastAsia="es-ES"/>
    </w:rPr>
  </w:style>
  <w:style w:type="paragraph" w:styleId="Piedepgina">
    <w:name w:val="footer"/>
    <w:basedOn w:val="Normal"/>
    <w:link w:val="PiedepginaCar"/>
    <w:semiHidden/>
    <w:rsid w:val="00292C4D"/>
    <w:pPr>
      <w:tabs>
        <w:tab w:val="center" w:pos="4252"/>
        <w:tab w:val="right" w:pos="8504"/>
      </w:tabs>
    </w:pPr>
  </w:style>
  <w:style w:type="character" w:customStyle="1" w:styleId="PiedepginaCar">
    <w:name w:val="Pie de página Car"/>
    <w:basedOn w:val="Fuentedeprrafopredeter"/>
    <w:link w:val="Piedepgina"/>
    <w:semiHidden/>
    <w:rsid w:val="00292C4D"/>
    <w:rPr>
      <w:rFonts w:ascii="Arial" w:eastAsia="Times New Roman" w:hAnsi="Arial" w:cs="Times New Roman"/>
      <w:sz w:val="24"/>
      <w:szCs w:val="24"/>
      <w:lang w:eastAsia="es-ES"/>
    </w:rPr>
  </w:style>
  <w:style w:type="character" w:styleId="Nmerodepgina">
    <w:name w:val="page number"/>
    <w:basedOn w:val="Fuentedeprrafopredeter"/>
    <w:semiHidden/>
    <w:rsid w:val="00292C4D"/>
  </w:style>
  <w:style w:type="paragraph" w:styleId="Ttulo">
    <w:name w:val="Title"/>
    <w:basedOn w:val="Normal"/>
    <w:link w:val="TtuloCar"/>
    <w:qFormat/>
    <w:rsid w:val="00110C25"/>
    <w:pPr>
      <w:spacing w:line="360" w:lineRule="auto"/>
      <w:jc w:val="center"/>
    </w:pPr>
    <w:rPr>
      <w:rFonts w:ascii="Bookman Old Style" w:hAnsi="Bookman Old Style"/>
      <w:b/>
      <w:szCs w:val="20"/>
      <w:lang w:val="es-MX"/>
    </w:rPr>
  </w:style>
  <w:style w:type="character" w:customStyle="1" w:styleId="TtuloCar">
    <w:name w:val="Título Car"/>
    <w:basedOn w:val="Fuentedeprrafopredeter"/>
    <w:link w:val="Ttulo"/>
    <w:rsid w:val="00110C25"/>
    <w:rPr>
      <w:rFonts w:ascii="Bookman Old Style" w:eastAsia="Times New Roman" w:hAnsi="Bookman Old Style" w:cs="Times New Roman"/>
      <w:b/>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642</Words>
  <Characters>3536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MUCCINELLI</dc:creator>
  <cp:keywords/>
  <dc:description/>
  <cp:lastModifiedBy> </cp:lastModifiedBy>
  <cp:revision>4</cp:revision>
  <dcterms:created xsi:type="dcterms:W3CDTF">2014-07-11T20:56:00Z</dcterms:created>
  <dcterms:modified xsi:type="dcterms:W3CDTF">2014-08-14T20:03:00Z</dcterms:modified>
</cp:coreProperties>
</file>