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71" w:rsidRDefault="00ED4A7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D4A71" w:rsidRDefault="00ED4A7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D4A71" w:rsidRDefault="00ED4A7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D4A71" w:rsidRDefault="00ED4A7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D4A71" w:rsidRDefault="00ED4A7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16  DE JULIO  DE 2014</w:t>
      </w:r>
    </w:p>
    <w:p w:rsidR="00ED4A71" w:rsidRDefault="00ED4A7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D4A71" w:rsidRPr="00ED4A71" w:rsidRDefault="00ED4A7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D4A71">
        <w:rPr>
          <w:rFonts w:ascii="Helvetica" w:hAnsi="Helvetica"/>
          <w:b/>
          <w:lang w:val="es-UY"/>
        </w:rPr>
        <w:t>(E. E. Nº 2014-17-1-0003583, Ent. N° 2697/14)</w:t>
      </w:r>
    </w:p>
    <w:p w:rsidR="00ED4A71" w:rsidRPr="00ED4A71" w:rsidRDefault="00ED4A7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ED4A71" w:rsidRPr="00ED4A71" w:rsidRDefault="00ED4A71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5E46EC" w:rsidRDefault="005E46EC" w:rsidP="00ED4A71">
      <w:pPr>
        <w:spacing w:line="360" w:lineRule="auto"/>
        <w:ind w:firstLine="851"/>
        <w:jc w:val="both"/>
        <w:rPr>
          <w:rFonts w:ascii="Arial" w:hAnsi="Arial" w:cs="Arial"/>
          <w:bCs/>
          <w:highlight w:val="yellow"/>
          <w:lang w:val="es-MX"/>
        </w:rPr>
      </w:pPr>
      <w:r>
        <w:rPr>
          <w:rFonts w:ascii="Arial" w:hAnsi="Arial" w:cs="Arial"/>
          <w:b/>
          <w:bCs/>
        </w:rPr>
        <w:t>VISTO</w:t>
      </w:r>
      <w:r w:rsidR="00ED4A7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las nuevas actuaciones remitidas por la Administración Nacional de Puertos, relacionadas con </w:t>
      </w:r>
      <w:r>
        <w:rPr>
          <w:rFonts w:ascii="Arial" w:hAnsi="Arial" w:cs="Arial"/>
          <w:bCs/>
          <w:lang w:val="es-MX"/>
        </w:rPr>
        <w:t xml:space="preserve">la cesión de uso del local contiguo a las oficinas </w:t>
      </w:r>
      <w:r w:rsidR="00ED4A71">
        <w:rPr>
          <w:rFonts w:ascii="Arial" w:hAnsi="Arial" w:cs="Arial"/>
          <w:bCs/>
          <w:lang w:val="es-MX"/>
        </w:rPr>
        <w:t>de la Unidad Salto (Ex</w:t>
      </w:r>
      <w:r>
        <w:rPr>
          <w:rFonts w:ascii="Arial" w:hAnsi="Arial" w:cs="Arial"/>
          <w:bCs/>
          <w:lang w:val="es-MX"/>
        </w:rPr>
        <w:t xml:space="preserve"> Balanza) a la Asociación Civil de Pescadores del SUNTMA;</w:t>
      </w:r>
    </w:p>
    <w:p w:rsidR="00ED4A71" w:rsidRDefault="005E46EC" w:rsidP="00ED4A71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</w:rPr>
        <w:t>RESULTANDO: 1)</w:t>
      </w:r>
      <w:r>
        <w:rPr>
          <w:rFonts w:ascii="Arial" w:hAnsi="Arial" w:cs="Arial"/>
        </w:rPr>
        <w:t xml:space="preserve"> que</w:t>
      </w:r>
      <w:r>
        <w:rPr>
          <w:rFonts w:ascii="Arial" w:hAnsi="Arial" w:cs="Arial"/>
          <w:bCs/>
          <w:lang w:val="es-MX"/>
        </w:rPr>
        <w:t xml:space="preserve"> con fecha 10.07.13, Ismael Sequeira, en representación de la Asociación Civil de Pescadores del </w:t>
      </w:r>
      <w:r w:rsidR="00ED4A71">
        <w:rPr>
          <w:rFonts w:ascii="Arial" w:hAnsi="Arial" w:cs="Arial"/>
          <w:bCs/>
          <w:lang w:val="es-MX"/>
        </w:rPr>
        <w:t>SUNTMA</w:t>
      </w:r>
      <w:r>
        <w:rPr>
          <w:rFonts w:ascii="Arial" w:hAnsi="Arial" w:cs="Arial"/>
          <w:bCs/>
          <w:lang w:val="es-MX"/>
        </w:rPr>
        <w:t xml:space="preserve"> (con personería jurídica), y de la Cooperativa de Mujeres de Pescadores (en formación), solicito a la Dirección de la ANP, la casona lindera a la Oficina de Aduanas, con la finalidad de instalar un mercado de concentración de pesca y a su vez desarrollar el expendio de comidas elaboradas por la cooperativa de mujeres, avalados por cursos de formación en dicha especialidad</w:t>
      </w:r>
      <w:r w:rsidR="00ED4A71">
        <w:rPr>
          <w:rFonts w:ascii="Arial" w:hAnsi="Arial" w:cs="Arial"/>
          <w:bCs/>
          <w:lang w:val="es-MX"/>
        </w:rPr>
        <w:t>;</w:t>
      </w:r>
    </w:p>
    <w:p w:rsidR="00ED4A71" w:rsidRDefault="005E46EC" w:rsidP="00ED4A71">
      <w:pPr>
        <w:spacing w:line="360" w:lineRule="auto"/>
        <w:ind w:firstLine="2835"/>
        <w:jc w:val="both"/>
        <w:rPr>
          <w:rFonts w:ascii="Arial" w:hAnsi="Arial" w:cs="Arial"/>
          <w:b/>
        </w:rPr>
      </w:pPr>
      <w:r w:rsidRPr="00ED4A71"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bCs/>
          <w:lang w:val="es-MX"/>
        </w:rPr>
        <w:t xml:space="preserve"> que se señala que el local solicitado es el de la ex</w:t>
      </w:r>
      <w:r w:rsidR="00ED4A71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>balanza, contigua a las oficinas de la Unidad de Salto, ubicado fuera del recinto portuario,</w:t>
      </w:r>
      <w:r w:rsidR="00ED4A71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>pero en terreno perteneciente a la ANP;</w:t>
      </w:r>
    </w:p>
    <w:p w:rsidR="00ED4A71" w:rsidRDefault="005E46EC" w:rsidP="00ED4A71">
      <w:pPr>
        <w:spacing w:line="360" w:lineRule="auto"/>
        <w:ind w:firstLine="2835"/>
        <w:jc w:val="both"/>
        <w:rPr>
          <w:rFonts w:ascii="Arial" w:hAnsi="Arial" w:cs="Arial"/>
        </w:rPr>
      </w:pPr>
      <w:r w:rsidRPr="00ED4A71">
        <w:rPr>
          <w:rFonts w:ascii="Arial" w:hAnsi="Arial" w:cs="Arial"/>
          <w:b/>
        </w:rPr>
        <w:t>3</w:t>
      </w:r>
      <w:r>
        <w:rPr>
          <w:rFonts w:ascii="Arial" w:hAnsi="Arial" w:cs="Arial"/>
          <w:b/>
          <w:bCs/>
        </w:rPr>
        <w:t>)</w:t>
      </w:r>
      <w:r w:rsidR="00ED4A71">
        <w:rPr>
          <w:rFonts w:ascii="Arial" w:hAnsi="Arial" w:cs="Arial"/>
        </w:rPr>
        <w:t xml:space="preserve"> que el Jefe de Unidad, informó</w:t>
      </w:r>
      <w:r>
        <w:rPr>
          <w:rFonts w:ascii="Arial" w:hAnsi="Arial" w:cs="Arial"/>
        </w:rPr>
        <w:t xml:space="preserve"> con fecha 11/11/13, que a nivel de la Mesa Zonal de Pesca, se evaluó el proyecto presentado, manifestando interés la DINARA, Intendencia de Salto, M</w:t>
      </w:r>
      <w:r w:rsidR="00ED4A71">
        <w:rPr>
          <w:rFonts w:ascii="Arial" w:hAnsi="Arial" w:cs="Arial"/>
        </w:rPr>
        <w:t>iniste</w:t>
      </w:r>
      <w:r>
        <w:rPr>
          <w:rFonts w:ascii="Arial" w:hAnsi="Arial" w:cs="Arial"/>
        </w:rPr>
        <w:t>rio de Turismo</w:t>
      </w:r>
      <w:r w:rsidR="00ED4A71">
        <w:rPr>
          <w:rFonts w:ascii="Arial" w:hAnsi="Arial" w:cs="Arial"/>
        </w:rPr>
        <w:t xml:space="preserve"> y Deporte</w:t>
      </w:r>
      <w:r>
        <w:rPr>
          <w:rFonts w:ascii="Arial" w:hAnsi="Arial" w:cs="Arial"/>
        </w:rPr>
        <w:t>,</w:t>
      </w:r>
      <w:r w:rsidR="00ED4A71">
        <w:rPr>
          <w:rFonts w:ascii="Arial" w:hAnsi="Arial" w:cs="Arial"/>
        </w:rPr>
        <w:t xml:space="preserve"> Prefectura</w:t>
      </w:r>
      <w:r>
        <w:rPr>
          <w:rFonts w:ascii="Arial" w:hAnsi="Arial" w:cs="Arial"/>
        </w:rPr>
        <w:t xml:space="preserve"> y </w:t>
      </w:r>
      <w:r w:rsidR="00ED4A71">
        <w:rPr>
          <w:rFonts w:ascii="Arial" w:hAnsi="Arial" w:cs="Arial"/>
        </w:rPr>
        <w:t xml:space="preserve">SUTMA, </w:t>
      </w:r>
      <w:r>
        <w:rPr>
          <w:rFonts w:ascii="Arial" w:hAnsi="Arial" w:cs="Arial"/>
        </w:rPr>
        <w:t>y la colaboración de las mismas ,y a nivel del MIDES, se efectuaron reuniones evaluatorias, dado que el Ministerio, a través de programas para emprendimientos estaría financiando el proyecto presentado, de acuerdo a lo informado por e</w:t>
      </w:r>
      <w:r w:rsidR="00ED4A71">
        <w:rPr>
          <w:rFonts w:ascii="Arial" w:hAnsi="Arial" w:cs="Arial"/>
        </w:rPr>
        <w:t>l Ministro de Desarrollo</w:t>
      </w:r>
      <w:r>
        <w:rPr>
          <w:rFonts w:ascii="Arial" w:hAnsi="Arial" w:cs="Arial"/>
        </w:rPr>
        <w:t xml:space="preserve"> Social, y si</w:t>
      </w:r>
      <w:r w:rsidR="00ED4A71">
        <w:rPr>
          <w:rFonts w:ascii="Arial" w:hAnsi="Arial" w:cs="Arial"/>
        </w:rPr>
        <w:t>multáneamente la Udelar, la Facultad</w:t>
      </w:r>
      <w:r>
        <w:rPr>
          <w:rFonts w:ascii="Arial" w:hAnsi="Arial" w:cs="Arial"/>
        </w:rPr>
        <w:t xml:space="preserve"> de Veterinaria y </w:t>
      </w:r>
      <w:r w:rsidR="00ED4A71">
        <w:rPr>
          <w:rFonts w:ascii="Arial" w:hAnsi="Arial" w:cs="Arial"/>
        </w:rPr>
        <w:t>la Dirección de Higiene de la Intendencia</w:t>
      </w:r>
      <w:r>
        <w:rPr>
          <w:rFonts w:ascii="Arial" w:hAnsi="Arial" w:cs="Arial"/>
        </w:rPr>
        <w:t xml:space="preserve"> de Salto han desarrollado trabajos de factibilidad del proyecto;</w:t>
      </w:r>
    </w:p>
    <w:p w:rsidR="00ED4A71" w:rsidRDefault="005E46EC" w:rsidP="00ED4A71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lastRenderedPageBreak/>
        <w:t>4)</w:t>
      </w:r>
      <w:r>
        <w:rPr>
          <w:rFonts w:ascii="Arial" w:hAnsi="Arial" w:cs="Arial"/>
        </w:rPr>
        <w:t xml:space="preserve"> que</w:t>
      </w:r>
      <w:r>
        <w:rPr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asimismo se señalo que,</w:t>
      </w:r>
      <w:r w:rsidR="00ED4A71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por tratarse de un proyecto social, apoyado por el MIDES, la Administración otorgaría la cesión, con precios bonificados, de $</w:t>
      </w:r>
      <w:r w:rsidR="00ED4A71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2000 por mes, por el plazo de un año;</w:t>
      </w:r>
    </w:p>
    <w:p w:rsidR="00ED4A71" w:rsidRDefault="005E46EC" w:rsidP="00ED4A71">
      <w:pPr>
        <w:spacing w:line="360" w:lineRule="auto"/>
        <w:ind w:firstLine="2835"/>
        <w:jc w:val="both"/>
        <w:rPr>
          <w:rFonts w:ascii="Arial" w:hAnsi="Arial" w:cs="Arial"/>
        </w:rPr>
      </w:pPr>
      <w:r w:rsidRPr="00ED4A71">
        <w:rPr>
          <w:rFonts w:ascii="Arial" w:hAnsi="Arial" w:cs="Arial"/>
          <w:b/>
        </w:rPr>
        <w:t>5)</w:t>
      </w:r>
      <w:r w:rsidRPr="00ED4A71">
        <w:rPr>
          <w:rFonts w:ascii="Arial" w:hAnsi="Arial" w:cs="Arial"/>
        </w:rPr>
        <w:t xml:space="preserve"> que por Resolución 67/3.719 de fech</w:t>
      </w:r>
      <w:r w:rsidR="00ED4A71">
        <w:rPr>
          <w:rFonts w:ascii="Arial" w:hAnsi="Arial" w:cs="Arial"/>
        </w:rPr>
        <w:t>a 06.03.14, el Directorio otorgó</w:t>
      </w:r>
      <w:r w:rsidRPr="00ED4A71">
        <w:rPr>
          <w:rFonts w:ascii="Arial" w:hAnsi="Arial" w:cs="Arial"/>
        </w:rPr>
        <w:t xml:space="preserve"> –supeditado a la intervención del Tribunal de Cuentas- </w:t>
      </w:r>
      <w:r w:rsidR="00ED4A71">
        <w:rPr>
          <w:rFonts w:ascii="Arial" w:hAnsi="Arial" w:cs="Arial"/>
        </w:rPr>
        <w:t>en cesión de uso, invocando el A</w:t>
      </w:r>
      <w:r w:rsidRPr="00ED4A71">
        <w:rPr>
          <w:rFonts w:ascii="Arial" w:hAnsi="Arial" w:cs="Arial"/>
        </w:rPr>
        <w:t>rt</w:t>
      </w:r>
      <w:r w:rsidR="00ED4A71">
        <w:rPr>
          <w:rFonts w:ascii="Arial" w:hAnsi="Arial" w:cs="Arial"/>
        </w:rPr>
        <w:t>ículo</w:t>
      </w:r>
      <w:r w:rsidRPr="00ED4A71">
        <w:rPr>
          <w:rFonts w:ascii="Arial" w:hAnsi="Arial" w:cs="Arial"/>
        </w:rPr>
        <w:t xml:space="preserve"> 33 </w:t>
      </w:r>
      <w:r w:rsidR="00ED4A71">
        <w:rPr>
          <w:rFonts w:ascii="Arial" w:hAnsi="Arial" w:cs="Arial"/>
        </w:rPr>
        <w:t>L</w:t>
      </w:r>
      <w:r w:rsidRPr="00ED4A71">
        <w:rPr>
          <w:rFonts w:ascii="Arial" w:hAnsi="Arial" w:cs="Arial"/>
        </w:rPr>
        <w:t>iteral B</w:t>
      </w:r>
      <w:r w:rsidR="00ED4A71">
        <w:rPr>
          <w:rFonts w:ascii="Arial" w:hAnsi="Arial" w:cs="Arial"/>
        </w:rPr>
        <w:t>) del TOCAF</w:t>
      </w:r>
      <w:r w:rsidRPr="00ED4A71">
        <w:rPr>
          <w:rFonts w:ascii="Arial" w:hAnsi="Arial" w:cs="Arial"/>
        </w:rPr>
        <w:t>, el local contiguo a las oficinas de la unidad Salto, con el objeto de la venta de comidas elaboradas con base en la pesca de río, por un precio mensual de $</w:t>
      </w:r>
      <w:r w:rsidR="00ED4A71">
        <w:rPr>
          <w:rFonts w:ascii="Arial" w:hAnsi="Arial" w:cs="Arial"/>
        </w:rPr>
        <w:t xml:space="preserve"> </w:t>
      </w:r>
      <w:r w:rsidRPr="00ED4A71">
        <w:rPr>
          <w:rFonts w:ascii="Arial" w:hAnsi="Arial" w:cs="Arial"/>
        </w:rPr>
        <w:t>2.000, por el plazo de un año;</w:t>
      </w:r>
    </w:p>
    <w:p w:rsidR="00ED4A71" w:rsidRDefault="005E46EC" w:rsidP="00ED4A71">
      <w:pPr>
        <w:spacing w:line="360" w:lineRule="auto"/>
        <w:ind w:firstLine="2835"/>
        <w:jc w:val="both"/>
        <w:rPr>
          <w:rFonts w:ascii="Arial" w:hAnsi="Arial" w:cs="Arial"/>
        </w:rPr>
      </w:pPr>
      <w:r w:rsidRPr="00ED4A71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</w:t>
      </w:r>
      <w:r>
        <w:rPr>
          <w:rFonts w:ascii="Arial" w:hAnsi="Arial" w:cs="Arial"/>
          <w:b/>
          <w:bCs/>
        </w:rPr>
        <w:t xml:space="preserve"> </w:t>
      </w:r>
      <w:r w:rsidR="00ED4A71">
        <w:rPr>
          <w:rFonts w:ascii="Arial" w:hAnsi="Arial" w:cs="Arial"/>
          <w:lang w:val="es-MX"/>
        </w:rPr>
        <w:t>la referida R</w:t>
      </w:r>
      <w:r>
        <w:rPr>
          <w:rFonts w:ascii="Arial" w:hAnsi="Arial" w:cs="Arial"/>
          <w:lang w:val="es-MX"/>
        </w:rPr>
        <w:t>esolución fue notificada a</w:t>
      </w:r>
      <w:r>
        <w:rPr>
          <w:rFonts w:ascii="Arial" w:hAnsi="Arial" w:cs="Arial"/>
        </w:rPr>
        <w:t xml:space="preserve"> la Asociación Civil de Pescadores </w:t>
      </w:r>
      <w:r w:rsidR="00ED4A71">
        <w:rPr>
          <w:rFonts w:ascii="Arial" w:hAnsi="Arial" w:cs="Arial"/>
        </w:rPr>
        <w:t>del SUNTMA, con fecha 14.03.14;</w:t>
      </w:r>
    </w:p>
    <w:p w:rsidR="00ED4A71" w:rsidRDefault="005E46EC" w:rsidP="00ED4A71">
      <w:pPr>
        <w:spacing w:line="360" w:lineRule="auto"/>
        <w:ind w:firstLine="2835"/>
        <w:jc w:val="both"/>
        <w:rPr>
          <w:rFonts w:ascii="Arial" w:hAnsi="Arial" w:cs="Arial"/>
        </w:rPr>
      </w:pPr>
      <w:r w:rsidRPr="00ED4A7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por informe de fecha 12.03.14, la Contadora  Delegada  sugirió que se brindara información respecto</w:t>
      </w:r>
      <w:r w:rsidR="00ED4A71">
        <w:rPr>
          <w:rFonts w:ascii="Arial" w:hAnsi="Arial" w:cs="Arial"/>
        </w:rPr>
        <w:t xml:space="preserve"> a la competencia de la ANP</w:t>
      </w:r>
      <w:r>
        <w:rPr>
          <w:rFonts w:ascii="Arial" w:hAnsi="Arial" w:cs="Arial"/>
        </w:rPr>
        <w:t>,</w:t>
      </w:r>
      <w:r w:rsidR="00ED4A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otorgar la cesión del bien;</w:t>
      </w:r>
    </w:p>
    <w:p w:rsidR="00ED4A71" w:rsidRDefault="005E46EC" w:rsidP="00ED4A71">
      <w:pPr>
        <w:spacing w:line="360" w:lineRule="auto"/>
        <w:ind w:firstLine="2835"/>
        <w:jc w:val="both"/>
        <w:rPr>
          <w:rFonts w:ascii="Arial" w:hAnsi="Arial" w:cs="Arial"/>
        </w:rPr>
      </w:pPr>
      <w:r w:rsidRPr="00ED4A7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la Unidad Sa</w:t>
      </w:r>
      <w:r w:rsidR="00ED4A71">
        <w:rPr>
          <w:rFonts w:ascii="Arial" w:hAnsi="Arial" w:cs="Arial"/>
        </w:rPr>
        <w:t>lto, con fecha 25.03.14, informó  que por A</w:t>
      </w:r>
      <w:r>
        <w:rPr>
          <w:rFonts w:ascii="Arial" w:hAnsi="Arial" w:cs="Arial"/>
        </w:rPr>
        <w:t>cta de acuerdo de transferencia, oportunamente el MTOP transfirió el uso, goce y administración de los locales del Puerto de Salto y de los bienes existentes, y que los locales se encuentran fuera del área operativa del puerto de Salto, p</w:t>
      </w:r>
      <w:r w:rsidR="00ED4A71">
        <w:rPr>
          <w:rFonts w:ascii="Arial" w:hAnsi="Arial" w:cs="Arial"/>
        </w:rPr>
        <w:t>or encima de la cota inundable;</w:t>
      </w:r>
    </w:p>
    <w:p w:rsidR="005E46EC" w:rsidRDefault="005E46EC" w:rsidP="00ED4A71">
      <w:pPr>
        <w:spacing w:line="360" w:lineRule="auto"/>
        <w:ind w:firstLine="2835"/>
        <w:jc w:val="both"/>
        <w:rPr>
          <w:rFonts w:ascii="Arial" w:hAnsi="Arial" w:cs="Arial"/>
        </w:rPr>
      </w:pPr>
      <w:r w:rsidRPr="00ED4A7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por Resolución 198/3.724 de fecha 22.04.14, la ANP tomó conocimiento y aprobó el informe presentado por la Jefatura de la Unidad Salto;</w:t>
      </w:r>
    </w:p>
    <w:p w:rsidR="00ED4A71" w:rsidRDefault="005E46EC" w:rsidP="00ED4A7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 w:rsidR="00ED4A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 w:rsidR="00ED4A71">
        <w:rPr>
          <w:rFonts w:ascii="Arial" w:hAnsi="Arial" w:cs="Arial"/>
        </w:rPr>
        <w:t>que el A</w:t>
      </w:r>
      <w:r>
        <w:rPr>
          <w:rFonts w:ascii="Arial" w:hAnsi="Arial" w:cs="Arial"/>
        </w:rPr>
        <w:t>rt</w:t>
      </w:r>
      <w:r w:rsidR="00ED4A71">
        <w:rPr>
          <w:rFonts w:ascii="Arial" w:hAnsi="Arial" w:cs="Arial"/>
        </w:rPr>
        <w:t>ículo 20 de la L</w:t>
      </w:r>
      <w:r>
        <w:rPr>
          <w:rFonts w:ascii="Arial" w:hAnsi="Arial" w:cs="Arial"/>
        </w:rPr>
        <w:t>ey 16246</w:t>
      </w:r>
      <w:r w:rsidR="00ED4A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(Puertos) establece que los puertos estatales existentes fuera del Departamento de Montevideo, serán administrados por el MTOP,</w:t>
      </w:r>
      <w:r w:rsidR="00ED4A71">
        <w:rPr>
          <w:rFonts w:ascii="Arial" w:hAnsi="Arial" w:cs="Arial"/>
        </w:rPr>
        <w:t xml:space="preserve"> excepto aquellos que el Poder</w:t>
      </w:r>
      <w:r>
        <w:rPr>
          <w:rFonts w:ascii="Arial" w:hAnsi="Arial" w:cs="Arial"/>
        </w:rPr>
        <w:t xml:space="preserve"> Ejecutivo asigne a la ANP;</w:t>
      </w:r>
    </w:p>
    <w:p w:rsidR="00192580" w:rsidRDefault="005E46EC" w:rsidP="00192580">
      <w:pPr>
        <w:spacing w:line="360" w:lineRule="auto"/>
        <w:ind w:firstLine="3119"/>
        <w:jc w:val="both"/>
        <w:rPr>
          <w:rFonts w:ascii="Arial" w:hAnsi="Arial" w:cs="Arial"/>
        </w:rPr>
      </w:pPr>
      <w:r w:rsidRPr="00ED4A71">
        <w:rPr>
          <w:rFonts w:ascii="Arial" w:hAnsi="Arial" w:cs="Arial"/>
          <w:b/>
        </w:rPr>
        <w:t>2)</w:t>
      </w:r>
      <w:r w:rsidR="00ED4A71">
        <w:rPr>
          <w:rFonts w:ascii="Arial" w:hAnsi="Arial" w:cs="Arial"/>
        </w:rPr>
        <w:t xml:space="preserve"> que por Decreto N° </w:t>
      </w:r>
      <w:r w:rsidRPr="00ED4A71">
        <w:rPr>
          <w:rFonts w:ascii="Arial" w:hAnsi="Arial" w:cs="Arial"/>
        </w:rPr>
        <w:t>108/006 del 04.04.06, el Poder Ejecutivo encomendó a la ANP, las funciones de administración, conservación y desarrollo del Puerto de Salto;</w:t>
      </w:r>
    </w:p>
    <w:p w:rsidR="00192580" w:rsidRDefault="005E46EC" w:rsidP="00192580">
      <w:pPr>
        <w:spacing w:line="360" w:lineRule="auto"/>
        <w:ind w:firstLine="3119"/>
        <w:jc w:val="both"/>
        <w:rPr>
          <w:rFonts w:ascii="Arial" w:hAnsi="Arial" w:cs="Arial"/>
        </w:rPr>
      </w:pPr>
      <w:r w:rsidRPr="005E46EC">
        <w:rPr>
          <w:rFonts w:ascii="Arial" w:hAnsi="Arial" w:cs="Arial"/>
          <w:b/>
        </w:rPr>
        <w:lastRenderedPageBreak/>
        <w:t>3)</w:t>
      </w:r>
      <w:r>
        <w:rPr>
          <w:rFonts w:ascii="Arial" w:hAnsi="Arial" w:cs="Arial"/>
        </w:rPr>
        <w:t xml:space="preserve"> que dentro de las facultades de administración se encuentra comprendida la de ceder el uso del bien;</w:t>
      </w:r>
    </w:p>
    <w:p w:rsidR="005E46EC" w:rsidRDefault="005E46EC" w:rsidP="00192580">
      <w:pPr>
        <w:spacing w:line="360" w:lineRule="auto"/>
        <w:ind w:firstLine="3119"/>
        <w:jc w:val="both"/>
        <w:rPr>
          <w:rFonts w:ascii="Arial" w:hAnsi="Arial" w:cs="Arial"/>
          <w:b/>
          <w:bCs/>
        </w:rPr>
      </w:pPr>
      <w:r w:rsidRPr="005E46EC"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Cs/>
        </w:rPr>
        <w:t xml:space="preserve"> que se entiende que la contratación dispuesta, en terreno pertenecien</w:t>
      </w:r>
      <w:r w:rsidR="00192580">
        <w:rPr>
          <w:rFonts w:ascii="Arial" w:hAnsi="Arial" w:cs="Arial"/>
          <w:bCs/>
        </w:rPr>
        <w:t>te a la ANP, según se informa (R</w:t>
      </w:r>
      <w:r>
        <w:rPr>
          <w:rFonts w:ascii="Arial" w:hAnsi="Arial" w:cs="Arial"/>
          <w:bCs/>
        </w:rPr>
        <w:t>esultando 2), puede encuadrar en l</w:t>
      </w:r>
      <w:r w:rsidR="00192580">
        <w:rPr>
          <w:rFonts w:ascii="Arial" w:hAnsi="Arial" w:cs="Arial"/>
          <w:bCs/>
        </w:rPr>
        <w:t>o dispuesto por el Artículo 33 L</w:t>
      </w:r>
      <w:r>
        <w:rPr>
          <w:rFonts w:ascii="Arial" w:hAnsi="Arial" w:cs="Arial"/>
          <w:bCs/>
        </w:rPr>
        <w:t>iteral B) del TOCAF</w:t>
      </w:r>
      <w:r w:rsidR="0019258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 invocado por el Organismo-, que prevé la contratación directa,</w:t>
      </w:r>
      <w:r w:rsidR="0019258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en función del monto;</w:t>
      </w:r>
    </w:p>
    <w:p w:rsidR="005E46EC" w:rsidRDefault="005E46EC" w:rsidP="0019258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ATENTO</w:t>
      </w:r>
      <w:r w:rsidR="0019258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lo exp</w:t>
      </w:r>
      <w:r w:rsidR="00192580">
        <w:rPr>
          <w:rFonts w:ascii="Arial" w:hAnsi="Arial" w:cs="Arial"/>
        </w:rPr>
        <w:t>resado y a lo dispuesto por el Artículo 211 L</w:t>
      </w:r>
      <w:r>
        <w:rPr>
          <w:rFonts w:ascii="Arial" w:hAnsi="Arial" w:cs="Arial"/>
        </w:rPr>
        <w:t>iteral E) de la Constitución de la República;</w:t>
      </w:r>
    </w:p>
    <w:p w:rsidR="005E46EC" w:rsidRDefault="005E46EC" w:rsidP="005E46EC">
      <w:pPr>
        <w:pStyle w:val="Ttulo1"/>
        <w:spacing w:line="360" w:lineRule="auto"/>
      </w:pPr>
      <w:bookmarkStart w:id="0" w:name="_GoBack"/>
      <w:bookmarkEnd w:id="0"/>
      <w:r>
        <w:t>EL TRIBUNAL ACUERDA</w:t>
      </w:r>
    </w:p>
    <w:p w:rsidR="00192580" w:rsidRDefault="005E46EC" w:rsidP="00192580">
      <w:pPr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ab/>
        <w:t>Cometer al C</w:t>
      </w:r>
      <w:r w:rsidR="00192580">
        <w:rPr>
          <w:rFonts w:ascii="Arial" w:hAnsi="Arial" w:cs="Arial"/>
        </w:rPr>
        <w:t>ontado</w:t>
      </w:r>
      <w:r>
        <w:rPr>
          <w:rFonts w:ascii="Arial" w:hAnsi="Arial" w:cs="Arial"/>
        </w:rPr>
        <w:t>r Delegado el control de la efectiva versión de lo recaudado en el rubro adecuado</w:t>
      </w:r>
      <w:r w:rsidR="00192580">
        <w:rPr>
          <w:rFonts w:ascii="Arial" w:hAnsi="Arial" w:cs="Arial"/>
        </w:rPr>
        <w:t>;</w:t>
      </w:r>
    </w:p>
    <w:p w:rsidR="00192580" w:rsidRDefault="005E46EC" w:rsidP="00192580">
      <w:pPr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ab/>
      </w:r>
      <w:r w:rsidR="00192580">
        <w:rPr>
          <w:rFonts w:ascii="Arial" w:hAnsi="Arial" w:cs="Arial"/>
        </w:rPr>
        <w:t>Comunicar al Contador Delegado;</w:t>
      </w:r>
    </w:p>
    <w:p w:rsidR="005E46EC" w:rsidRDefault="005E46EC" w:rsidP="00192580">
      <w:pPr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ab/>
        <w:t>Devolver las actuaciones.</w:t>
      </w:r>
    </w:p>
    <w:p w:rsidR="00192580" w:rsidRDefault="00192580" w:rsidP="00192580">
      <w:pPr>
        <w:spacing w:line="360" w:lineRule="auto"/>
        <w:ind w:left="709" w:hanging="283"/>
        <w:jc w:val="both"/>
        <w:rPr>
          <w:rFonts w:ascii="Arial" w:hAnsi="Arial" w:cs="Arial"/>
        </w:rPr>
      </w:pPr>
    </w:p>
    <w:p w:rsidR="00192580" w:rsidRDefault="00192580" w:rsidP="00192580">
      <w:pPr>
        <w:spacing w:line="360" w:lineRule="auto"/>
        <w:ind w:left="709" w:hanging="283"/>
        <w:jc w:val="both"/>
        <w:rPr>
          <w:rFonts w:ascii="Arial" w:hAnsi="Arial" w:cs="Arial"/>
        </w:rPr>
      </w:pPr>
    </w:p>
    <w:p w:rsidR="00192580" w:rsidRDefault="00192580" w:rsidP="00192580">
      <w:pPr>
        <w:spacing w:line="360" w:lineRule="auto"/>
        <w:ind w:left="709" w:hanging="283"/>
        <w:jc w:val="both"/>
        <w:rPr>
          <w:rFonts w:ascii="Arial" w:hAnsi="Arial" w:cs="Arial"/>
        </w:rPr>
      </w:pPr>
    </w:p>
    <w:p w:rsidR="00192580" w:rsidRDefault="00192580" w:rsidP="00192580">
      <w:pPr>
        <w:spacing w:line="360" w:lineRule="auto"/>
        <w:ind w:left="709" w:hanging="283"/>
        <w:jc w:val="both"/>
        <w:rPr>
          <w:rFonts w:ascii="Arial" w:hAnsi="Arial" w:cs="Arial"/>
        </w:rPr>
      </w:pPr>
    </w:p>
    <w:p w:rsidR="005E46EC" w:rsidRDefault="00192580" w:rsidP="00192580">
      <w:pPr>
        <w:spacing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dc</w:t>
      </w:r>
    </w:p>
    <w:p w:rsidR="002E3E7A" w:rsidRDefault="002E3E7A"/>
    <w:sectPr w:rsidR="002E3E7A" w:rsidSect="00192580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EC"/>
    <w:rsid w:val="00192580"/>
    <w:rsid w:val="002E3E7A"/>
    <w:rsid w:val="005E46EC"/>
    <w:rsid w:val="00E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46E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46EC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5E46EC"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E46EC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5E46EC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E46EC"/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46E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46EC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5E46EC"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E46EC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5E46EC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E46EC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LEDESMA GAYA</dc:creator>
  <cp:keywords/>
  <dc:description/>
  <cp:lastModifiedBy>Daniela Castro</cp:lastModifiedBy>
  <cp:revision>2</cp:revision>
  <dcterms:created xsi:type="dcterms:W3CDTF">2014-07-23T21:19:00Z</dcterms:created>
  <dcterms:modified xsi:type="dcterms:W3CDTF">2014-07-23T21:19:00Z</dcterms:modified>
</cp:coreProperties>
</file>