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D22" w:rsidRPr="00881D22" w:rsidRDefault="00881D22" w:rsidP="00881D22">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881D22">
        <w:rPr>
          <w:rFonts w:ascii="Arial" w:hAnsi="Arial" w:cs="Arial"/>
          <w:b/>
          <w:sz w:val="24"/>
          <w:szCs w:val="24"/>
          <w:lang w:val="es-ES_tradnl"/>
        </w:rPr>
        <w:t>RESOLUCION ADOPTADA POR EL</w:t>
      </w:r>
    </w:p>
    <w:p w:rsidR="00881D22" w:rsidRPr="00881D22" w:rsidRDefault="00881D22" w:rsidP="00881D22">
      <w:pPr>
        <w:tabs>
          <w:tab w:val="left" w:pos="-720"/>
        </w:tabs>
        <w:suppressAutoHyphens/>
        <w:spacing w:after="0" w:line="240" w:lineRule="auto"/>
        <w:jc w:val="center"/>
        <w:rPr>
          <w:rFonts w:ascii="Arial" w:hAnsi="Arial" w:cs="Arial"/>
          <w:b/>
          <w:sz w:val="24"/>
          <w:szCs w:val="24"/>
          <w:lang w:val="es-ES_tradnl"/>
        </w:rPr>
      </w:pPr>
    </w:p>
    <w:p w:rsidR="00881D22" w:rsidRPr="00881D22" w:rsidRDefault="00881D22" w:rsidP="00881D22">
      <w:pPr>
        <w:tabs>
          <w:tab w:val="center" w:pos="4253"/>
        </w:tabs>
        <w:suppressAutoHyphens/>
        <w:spacing w:after="0" w:line="240" w:lineRule="auto"/>
        <w:jc w:val="center"/>
        <w:rPr>
          <w:rFonts w:ascii="Arial" w:hAnsi="Arial" w:cs="Arial"/>
          <w:b/>
          <w:sz w:val="24"/>
          <w:szCs w:val="24"/>
          <w:lang w:val="es-ES_tradnl"/>
        </w:rPr>
      </w:pPr>
      <w:r w:rsidRPr="00881D22">
        <w:rPr>
          <w:rFonts w:ascii="Arial" w:hAnsi="Arial" w:cs="Arial"/>
          <w:b/>
          <w:sz w:val="24"/>
          <w:szCs w:val="24"/>
          <w:lang w:val="es-ES_tradnl"/>
        </w:rPr>
        <w:t>TRIBUNAL DE CUENTAS</w:t>
      </w:r>
    </w:p>
    <w:p w:rsidR="00881D22" w:rsidRPr="00881D22" w:rsidRDefault="00881D22" w:rsidP="00881D22">
      <w:pPr>
        <w:tabs>
          <w:tab w:val="left" w:pos="-720"/>
        </w:tabs>
        <w:suppressAutoHyphens/>
        <w:spacing w:after="0" w:line="240" w:lineRule="auto"/>
        <w:jc w:val="center"/>
        <w:rPr>
          <w:rFonts w:ascii="Arial" w:hAnsi="Arial" w:cs="Arial"/>
          <w:b/>
          <w:sz w:val="24"/>
          <w:szCs w:val="24"/>
          <w:lang w:val="es-ES_tradnl"/>
        </w:rPr>
      </w:pPr>
    </w:p>
    <w:p w:rsidR="00881D22" w:rsidRPr="00881D22" w:rsidRDefault="00881D22" w:rsidP="00881D22">
      <w:pPr>
        <w:tabs>
          <w:tab w:val="center" w:pos="4253"/>
        </w:tabs>
        <w:suppressAutoHyphens/>
        <w:spacing w:after="0" w:line="240" w:lineRule="auto"/>
        <w:jc w:val="center"/>
        <w:rPr>
          <w:rFonts w:ascii="Arial" w:hAnsi="Arial" w:cs="Arial"/>
          <w:b/>
          <w:sz w:val="24"/>
          <w:szCs w:val="24"/>
          <w:lang w:val="es-ES_tradnl"/>
        </w:rPr>
      </w:pPr>
      <w:r w:rsidRPr="00881D22">
        <w:rPr>
          <w:rFonts w:ascii="Arial" w:hAnsi="Arial" w:cs="Arial"/>
          <w:b/>
          <w:sz w:val="24"/>
          <w:szCs w:val="24"/>
          <w:lang w:val="es-ES_tradnl"/>
        </w:rPr>
        <w:t>EN SESION DE FECHA 25 DE JUNIO DE 2014</w:t>
      </w:r>
    </w:p>
    <w:p w:rsidR="00881D22" w:rsidRPr="00881D22" w:rsidRDefault="00881D22" w:rsidP="00881D22">
      <w:pPr>
        <w:tabs>
          <w:tab w:val="center" w:pos="4253"/>
        </w:tabs>
        <w:suppressAutoHyphens/>
        <w:spacing w:after="0" w:line="240" w:lineRule="auto"/>
        <w:jc w:val="center"/>
        <w:rPr>
          <w:rFonts w:ascii="Arial" w:hAnsi="Arial" w:cs="Arial"/>
          <w:b/>
          <w:sz w:val="24"/>
          <w:szCs w:val="24"/>
          <w:lang w:val="es-ES_tradnl"/>
        </w:rPr>
      </w:pPr>
    </w:p>
    <w:p w:rsidR="00881D22" w:rsidRPr="00B5267B" w:rsidRDefault="00881D22" w:rsidP="00881D22">
      <w:pPr>
        <w:tabs>
          <w:tab w:val="center" w:pos="4253"/>
        </w:tabs>
        <w:suppressAutoHyphens/>
        <w:spacing w:after="0" w:line="240" w:lineRule="auto"/>
        <w:jc w:val="center"/>
        <w:rPr>
          <w:rFonts w:ascii="Arial" w:hAnsi="Arial" w:cs="Arial"/>
          <w:b/>
          <w:sz w:val="24"/>
          <w:szCs w:val="24"/>
          <w:lang w:val="es-ES_tradnl"/>
        </w:rPr>
      </w:pPr>
      <w:r w:rsidRPr="00B5267B">
        <w:rPr>
          <w:rFonts w:ascii="Arial" w:hAnsi="Arial" w:cs="Arial"/>
          <w:b/>
          <w:sz w:val="24"/>
          <w:szCs w:val="24"/>
          <w:lang w:val="es-ES_tradnl"/>
        </w:rPr>
        <w:t xml:space="preserve">(E. E. Nº </w:t>
      </w:r>
      <w:r w:rsidR="00DF677F" w:rsidRPr="00B5267B">
        <w:rPr>
          <w:rFonts w:ascii="Arial" w:hAnsi="Arial" w:cs="Arial"/>
          <w:b/>
          <w:sz w:val="24"/>
          <w:szCs w:val="24"/>
          <w:lang w:val="es-ES_tradnl"/>
        </w:rPr>
        <w:t>2013-17-1-0004172</w:t>
      </w:r>
      <w:r w:rsidRPr="00B5267B">
        <w:rPr>
          <w:rFonts w:ascii="Arial" w:hAnsi="Arial" w:cs="Arial"/>
          <w:b/>
          <w:sz w:val="24"/>
          <w:szCs w:val="24"/>
          <w:lang w:val="es-ES_tradnl"/>
        </w:rPr>
        <w:t xml:space="preserve">, </w:t>
      </w:r>
      <w:proofErr w:type="spellStart"/>
      <w:r w:rsidRPr="00B5267B">
        <w:rPr>
          <w:rFonts w:ascii="Arial" w:hAnsi="Arial" w:cs="Arial"/>
          <w:b/>
          <w:sz w:val="24"/>
          <w:szCs w:val="24"/>
          <w:lang w:val="es-ES_tradnl"/>
        </w:rPr>
        <w:t>Ent</w:t>
      </w:r>
      <w:proofErr w:type="spellEnd"/>
      <w:r w:rsidRPr="00B5267B">
        <w:rPr>
          <w:rFonts w:ascii="Arial" w:hAnsi="Arial" w:cs="Arial"/>
          <w:b/>
          <w:sz w:val="24"/>
          <w:szCs w:val="24"/>
          <w:lang w:val="es-ES_tradnl"/>
        </w:rPr>
        <w:t xml:space="preserve">. N° </w:t>
      </w:r>
      <w:r w:rsidR="00DF677F" w:rsidRPr="00B5267B">
        <w:rPr>
          <w:rFonts w:ascii="Arial" w:hAnsi="Arial" w:cs="Arial"/>
          <w:b/>
          <w:sz w:val="24"/>
          <w:szCs w:val="24"/>
          <w:lang w:val="es-ES_tradnl"/>
        </w:rPr>
        <w:t>3071/14</w:t>
      </w:r>
      <w:r w:rsidRPr="00B5267B">
        <w:rPr>
          <w:rFonts w:ascii="Arial" w:hAnsi="Arial" w:cs="Arial"/>
          <w:b/>
          <w:sz w:val="24"/>
          <w:szCs w:val="24"/>
          <w:lang w:val="es-ES_tradnl"/>
        </w:rPr>
        <w:t>)</w:t>
      </w:r>
    </w:p>
    <w:p w:rsidR="00B169A6" w:rsidRDefault="00B169A6" w:rsidP="00881D22">
      <w:pPr>
        <w:spacing w:after="0"/>
        <w:ind w:firstLine="851"/>
        <w:jc w:val="both"/>
        <w:rPr>
          <w:rFonts w:ascii="Arial" w:hAnsi="Arial" w:cs="Arial"/>
          <w:sz w:val="24"/>
          <w:szCs w:val="24"/>
        </w:rPr>
      </w:pPr>
      <w:r w:rsidRPr="00881D22">
        <w:rPr>
          <w:rFonts w:ascii="Arial" w:hAnsi="Arial" w:cs="Arial"/>
          <w:b/>
          <w:bCs/>
          <w:sz w:val="24"/>
          <w:szCs w:val="24"/>
        </w:rPr>
        <w:t xml:space="preserve">VISTO: </w:t>
      </w:r>
      <w:r w:rsidR="00B5267B">
        <w:rPr>
          <w:rFonts w:ascii="Arial" w:hAnsi="Arial" w:cs="Arial"/>
          <w:sz w:val="24"/>
          <w:szCs w:val="24"/>
        </w:rPr>
        <w:t>la N</w:t>
      </w:r>
      <w:r w:rsidRPr="00881D22">
        <w:rPr>
          <w:rFonts w:ascii="Arial" w:hAnsi="Arial" w:cs="Arial"/>
          <w:sz w:val="24"/>
          <w:szCs w:val="24"/>
        </w:rPr>
        <w:t>ota de fecha 12 de mayo de 2014 remitida</w:t>
      </w:r>
      <w:r>
        <w:rPr>
          <w:rFonts w:ascii="Arial" w:hAnsi="Arial" w:cs="Arial"/>
          <w:sz w:val="24"/>
          <w:szCs w:val="24"/>
        </w:rPr>
        <w:t xml:space="preserve"> por la Contadora Delegada en la Facultad de Agronomía de la Universidad de la República;</w:t>
      </w:r>
    </w:p>
    <w:p w:rsidR="00B169A6" w:rsidRDefault="00B169A6" w:rsidP="00881D22">
      <w:pPr>
        <w:autoSpaceDE w:val="0"/>
        <w:autoSpaceDN w:val="0"/>
        <w:adjustRightInd w:val="0"/>
        <w:spacing w:after="0"/>
        <w:ind w:firstLine="851"/>
        <w:jc w:val="both"/>
        <w:rPr>
          <w:rFonts w:ascii="Times New Roman" w:hAnsi="Times New Roman" w:cs="Times New Roman"/>
          <w:lang w:val="es-UY"/>
        </w:rPr>
      </w:pPr>
      <w:r>
        <w:rPr>
          <w:rFonts w:ascii="Arial" w:hAnsi="Arial" w:cs="Arial"/>
          <w:b/>
          <w:bCs/>
          <w:sz w:val="24"/>
          <w:szCs w:val="24"/>
          <w:lang w:val="es-UY"/>
        </w:rPr>
        <w:t>RESULTANDO:</w:t>
      </w:r>
      <w:r>
        <w:rPr>
          <w:rFonts w:ascii="LiberationSans-Regular" w:hAnsi="LiberationSans-Regular" w:cs="LiberationSans-Regular"/>
          <w:sz w:val="24"/>
          <w:szCs w:val="24"/>
        </w:rPr>
        <w:t xml:space="preserve"> </w:t>
      </w:r>
      <w:r>
        <w:rPr>
          <w:rFonts w:ascii="LiberationSans-Regular" w:hAnsi="LiberationSans-Regular" w:cs="LiberationSans-Regular"/>
          <w:sz w:val="24"/>
          <w:szCs w:val="24"/>
          <w:lang w:val="es-UY"/>
        </w:rPr>
        <w:t xml:space="preserve">que por dicha </w:t>
      </w:r>
      <w:r w:rsidR="00F270E5">
        <w:rPr>
          <w:rFonts w:ascii="LiberationSans-Regular" w:hAnsi="LiberationSans-Regular" w:cs="LiberationSans-Regular"/>
          <w:sz w:val="24"/>
          <w:szCs w:val="24"/>
          <w:lang w:val="es-UY"/>
        </w:rPr>
        <w:t>N</w:t>
      </w:r>
      <w:r>
        <w:rPr>
          <w:rFonts w:ascii="LiberationSans-Regular" w:hAnsi="LiberationSans-Regular" w:cs="LiberationSans-Regular"/>
          <w:sz w:val="24"/>
          <w:szCs w:val="24"/>
          <w:lang w:val="es-UY"/>
        </w:rPr>
        <w:t xml:space="preserve">ota se pone en conocimiento de este Tribunal, la observación formulada por la Contadora Delegada en la Facultad de Agronomía al procedimiento de rendición de cuentas de una partida otorgada en febrero de 2014, al amparo de lo establecido en el  </w:t>
      </w:r>
      <w:r w:rsidR="00F270E5">
        <w:rPr>
          <w:rFonts w:ascii="LiberationSans-Regular" w:hAnsi="LiberationSans-Regular" w:cs="LiberationSans-Regular"/>
          <w:sz w:val="24"/>
          <w:szCs w:val="24"/>
          <w:lang w:val="es-UY"/>
        </w:rPr>
        <w:t>A</w:t>
      </w:r>
      <w:r>
        <w:rPr>
          <w:rFonts w:ascii="LiberationSans-Regular" w:hAnsi="LiberationSans-Regular" w:cs="LiberationSans-Regular"/>
          <w:sz w:val="24"/>
          <w:szCs w:val="24"/>
          <w:lang w:val="es-UY"/>
        </w:rPr>
        <w:t>rtículo 57 del Estatuto del Personal Docente de la Universidad de la República, de acuerdo al siguiente detalle: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127"/>
        <w:gridCol w:w="1873"/>
      </w:tblGrid>
      <w:tr w:rsidR="00B169A6">
        <w:tc>
          <w:tcPr>
            <w:tcW w:w="4644" w:type="dxa"/>
          </w:tcPr>
          <w:p w:rsidR="00B169A6" w:rsidRDefault="00B169A6">
            <w:pPr>
              <w:spacing w:after="0" w:line="240" w:lineRule="auto"/>
              <w:jc w:val="both"/>
              <w:rPr>
                <w:rFonts w:ascii="Arial" w:hAnsi="Arial" w:cs="Arial"/>
                <w:b/>
                <w:bCs/>
                <w:sz w:val="24"/>
                <w:szCs w:val="24"/>
              </w:rPr>
            </w:pPr>
            <w:r>
              <w:rPr>
                <w:rFonts w:ascii="Arial" w:hAnsi="Arial" w:cs="Arial"/>
                <w:b/>
                <w:bCs/>
                <w:sz w:val="24"/>
                <w:szCs w:val="24"/>
              </w:rPr>
              <w:t>MOTIVO</w:t>
            </w:r>
          </w:p>
        </w:tc>
        <w:tc>
          <w:tcPr>
            <w:tcW w:w="2127" w:type="dxa"/>
          </w:tcPr>
          <w:p w:rsidR="00B169A6" w:rsidRDefault="00B169A6">
            <w:pPr>
              <w:spacing w:after="0" w:line="240" w:lineRule="auto"/>
              <w:jc w:val="center"/>
              <w:rPr>
                <w:rFonts w:ascii="Arial" w:hAnsi="Arial" w:cs="Arial"/>
                <w:b/>
                <w:bCs/>
                <w:sz w:val="24"/>
                <w:szCs w:val="24"/>
              </w:rPr>
            </w:pPr>
            <w:r>
              <w:rPr>
                <w:rFonts w:ascii="Arial" w:hAnsi="Arial" w:cs="Arial"/>
                <w:b/>
                <w:bCs/>
                <w:sz w:val="24"/>
                <w:szCs w:val="24"/>
              </w:rPr>
              <w:t>CANTIDAD</w:t>
            </w:r>
          </w:p>
        </w:tc>
        <w:tc>
          <w:tcPr>
            <w:tcW w:w="1873" w:type="dxa"/>
          </w:tcPr>
          <w:p w:rsidR="00B169A6" w:rsidRDefault="00B169A6">
            <w:pPr>
              <w:spacing w:after="0" w:line="240" w:lineRule="auto"/>
              <w:jc w:val="both"/>
              <w:rPr>
                <w:rFonts w:ascii="Arial" w:hAnsi="Arial" w:cs="Arial"/>
                <w:b/>
                <w:bCs/>
                <w:sz w:val="24"/>
                <w:szCs w:val="24"/>
              </w:rPr>
            </w:pPr>
            <w:r>
              <w:rPr>
                <w:rFonts w:ascii="Arial" w:hAnsi="Arial" w:cs="Arial"/>
                <w:b/>
                <w:bCs/>
                <w:sz w:val="24"/>
                <w:szCs w:val="24"/>
              </w:rPr>
              <w:t>IMPORTE ($)</w:t>
            </w:r>
          </w:p>
        </w:tc>
      </w:tr>
      <w:tr w:rsidR="00B169A6">
        <w:tc>
          <w:tcPr>
            <w:tcW w:w="4644" w:type="dxa"/>
          </w:tcPr>
          <w:p w:rsidR="00B169A6" w:rsidRDefault="00B169A6">
            <w:pPr>
              <w:spacing w:after="0" w:line="240" w:lineRule="auto"/>
              <w:jc w:val="both"/>
              <w:rPr>
                <w:rFonts w:ascii="Arial" w:hAnsi="Arial" w:cs="Arial"/>
                <w:sz w:val="24"/>
                <w:szCs w:val="24"/>
              </w:rPr>
            </w:pPr>
            <w:r>
              <w:rPr>
                <w:rFonts w:ascii="Arial" w:hAnsi="Arial" w:cs="Arial"/>
                <w:sz w:val="24"/>
                <w:szCs w:val="24"/>
              </w:rPr>
              <w:t>Artículo 132 TOCAF Decreto 150/2012</w:t>
            </w:r>
          </w:p>
        </w:tc>
        <w:tc>
          <w:tcPr>
            <w:tcW w:w="2127" w:type="dxa"/>
          </w:tcPr>
          <w:p w:rsidR="00B169A6" w:rsidRDefault="00B169A6">
            <w:pPr>
              <w:spacing w:after="0" w:line="240" w:lineRule="auto"/>
              <w:jc w:val="center"/>
              <w:rPr>
                <w:rFonts w:ascii="Arial" w:hAnsi="Arial" w:cs="Arial"/>
                <w:sz w:val="24"/>
                <w:szCs w:val="24"/>
              </w:rPr>
            </w:pPr>
            <w:r>
              <w:rPr>
                <w:rFonts w:ascii="Arial" w:hAnsi="Arial" w:cs="Arial"/>
                <w:sz w:val="24"/>
                <w:szCs w:val="24"/>
              </w:rPr>
              <w:t>1</w:t>
            </w:r>
          </w:p>
        </w:tc>
        <w:tc>
          <w:tcPr>
            <w:tcW w:w="1873" w:type="dxa"/>
          </w:tcPr>
          <w:p w:rsidR="00B169A6" w:rsidRDefault="00B169A6">
            <w:pPr>
              <w:spacing w:after="0" w:line="240" w:lineRule="auto"/>
              <w:jc w:val="both"/>
              <w:rPr>
                <w:rFonts w:ascii="Arial" w:hAnsi="Arial" w:cs="Arial"/>
                <w:sz w:val="24"/>
                <w:szCs w:val="24"/>
              </w:rPr>
            </w:pPr>
            <w:r>
              <w:rPr>
                <w:rFonts w:ascii="Arial" w:hAnsi="Arial" w:cs="Arial"/>
                <w:sz w:val="24"/>
                <w:szCs w:val="24"/>
              </w:rPr>
              <w:t xml:space="preserve">     588.465</w:t>
            </w:r>
          </w:p>
        </w:tc>
      </w:tr>
      <w:tr w:rsidR="00B169A6">
        <w:tc>
          <w:tcPr>
            <w:tcW w:w="4644" w:type="dxa"/>
          </w:tcPr>
          <w:p w:rsidR="00B169A6" w:rsidRDefault="00B169A6">
            <w:pPr>
              <w:spacing w:after="0" w:line="240" w:lineRule="auto"/>
              <w:jc w:val="both"/>
              <w:rPr>
                <w:rFonts w:ascii="Arial" w:hAnsi="Arial" w:cs="Arial"/>
                <w:b/>
                <w:bCs/>
                <w:sz w:val="24"/>
                <w:szCs w:val="24"/>
              </w:rPr>
            </w:pPr>
            <w:r>
              <w:rPr>
                <w:rFonts w:ascii="Arial" w:hAnsi="Arial" w:cs="Arial"/>
                <w:b/>
                <w:bCs/>
                <w:sz w:val="24"/>
                <w:szCs w:val="24"/>
              </w:rPr>
              <w:t>TOTAL</w:t>
            </w:r>
          </w:p>
        </w:tc>
        <w:tc>
          <w:tcPr>
            <w:tcW w:w="2127" w:type="dxa"/>
          </w:tcPr>
          <w:p w:rsidR="00B169A6" w:rsidRDefault="00B169A6">
            <w:pPr>
              <w:spacing w:after="0" w:line="240" w:lineRule="auto"/>
              <w:jc w:val="center"/>
              <w:rPr>
                <w:rFonts w:ascii="Arial" w:hAnsi="Arial" w:cs="Arial"/>
                <w:b/>
                <w:bCs/>
                <w:sz w:val="24"/>
                <w:szCs w:val="24"/>
              </w:rPr>
            </w:pPr>
            <w:r>
              <w:rPr>
                <w:rFonts w:ascii="Arial" w:hAnsi="Arial" w:cs="Arial"/>
                <w:b/>
                <w:bCs/>
                <w:sz w:val="24"/>
                <w:szCs w:val="24"/>
              </w:rPr>
              <w:t>1</w:t>
            </w:r>
          </w:p>
        </w:tc>
        <w:tc>
          <w:tcPr>
            <w:tcW w:w="1873" w:type="dxa"/>
          </w:tcPr>
          <w:p w:rsidR="00B169A6" w:rsidRDefault="00B169A6">
            <w:pPr>
              <w:spacing w:after="0" w:line="240" w:lineRule="auto"/>
              <w:jc w:val="both"/>
              <w:rPr>
                <w:rFonts w:ascii="Arial" w:hAnsi="Arial" w:cs="Arial"/>
                <w:b/>
                <w:bCs/>
                <w:sz w:val="24"/>
                <w:szCs w:val="24"/>
              </w:rPr>
            </w:pPr>
            <w:r>
              <w:rPr>
                <w:rFonts w:ascii="Arial" w:hAnsi="Arial" w:cs="Arial"/>
                <w:b/>
                <w:bCs/>
                <w:sz w:val="24"/>
                <w:szCs w:val="24"/>
              </w:rPr>
              <w:t xml:space="preserve">     588.465</w:t>
            </w:r>
          </w:p>
        </w:tc>
      </w:tr>
    </w:tbl>
    <w:p w:rsidR="00B169A6" w:rsidRDefault="00B169A6" w:rsidP="00881D22">
      <w:pPr>
        <w:spacing w:after="0"/>
        <w:ind w:firstLine="851"/>
        <w:jc w:val="both"/>
        <w:rPr>
          <w:rFonts w:ascii="Arial" w:hAnsi="Arial" w:cs="Arial"/>
          <w:sz w:val="24"/>
          <w:szCs w:val="24"/>
          <w:lang w:val="es-UY"/>
        </w:rPr>
      </w:pPr>
      <w:r>
        <w:rPr>
          <w:rFonts w:ascii="Arial" w:hAnsi="Arial" w:cs="Arial"/>
          <w:b/>
          <w:bCs/>
          <w:sz w:val="24"/>
          <w:szCs w:val="24"/>
        </w:rPr>
        <w:t>CONSIDERANDO:</w:t>
      </w:r>
      <w:r w:rsidR="00881D22">
        <w:rPr>
          <w:rFonts w:ascii="Arial" w:hAnsi="Arial" w:cs="Arial"/>
          <w:b/>
          <w:bCs/>
          <w:sz w:val="24"/>
          <w:szCs w:val="24"/>
        </w:rPr>
        <w:t xml:space="preserve"> </w:t>
      </w:r>
      <w:r>
        <w:rPr>
          <w:rFonts w:ascii="Arial" w:hAnsi="Arial" w:cs="Arial"/>
          <w:b/>
          <w:bCs/>
          <w:sz w:val="24"/>
          <w:szCs w:val="24"/>
        </w:rPr>
        <w:t xml:space="preserve">1) </w:t>
      </w:r>
      <w:r>
        <w:rPr>
          <w:rFonts w:ascii="Arial" w:hAnsi="Arial" w:cs="Arial"/>
          <w:sz w:val="24"/>
          <w:szCs w:val="24"/>
        </w:rPr>
        <w:t>que resultan fundados los motivos expuestos por la</w:t>
      </w:r>
      <w:r>
        <w:rPr>
          <w:rFonts w:ascii="Arial" w:hAnsi="Arial" w:cs="Arial"/>
          <w:sz w:val="24"/>
          <w:szCs w:val="24"/>
          <w:lang w:val="es-UY"/>
        </w:rPr>
        <w:t xml:space="preserve"> Contadora Delegada para no aprobar el procedimiento de rendición referido;</w:t>
      </w:r>
    </w:p>
    <w:p w:rsidR="00B169A6" w:rsidRDefault="00B169A6" w:rsidP="00881D22">
      <w:pPr>
        <w:autoSpaceDE w:val="0"/>
        <w:autoSpaceDN w:val="0"/>
        <w:adjustRightInd w:val="0"/>
        <w:spacing w:after="0"/>
        <w:ind w:firstLine="2977"/>
        <w:jc w:val="both"/>
        <w:rPr>
          <w:rFonts w:ascii="Arial" w:hAnsi="Arial" w:cs="Arial"/>
          <w:sz w:val="24"/>
          <w:szCs w:val="24"/>
          <w:lang w:val="es-UY"/>
        </w:rPr>
      </w:pPr>
      <w:r>
        <w:rPr>
          <w:rFonts w:ascii="Arial" w:hAnsi="Arial" w:cs="Arial"/>
          <w:b/>
          <w:bCs/>
          <w:sz w:val="24"/>
          <w:szCs w:val="24"/>
          <w:lang w:val="es-UY"/>
        </w:rPr>
        <w:t xml:space="preserve">2) </w:t>
      </w:r>
      <w:r>
        <w:rPr>
          <w:rFonts w:ascii="Arial" w:hAnsi="Arial" w:cs="Arial"/>
          <w:sz w:val="24"/>
          <w:szCs w:val="24"/>
          <w:lang w:val="es-UY"/>
        </w:rPr>
        <w:t>que no obstante por Oficio Nº 7114/13 de fecha 16 de setiembre de 2013, este Tribunal comunicó a la Universidad de la República el criterio respecto al procedimiento que se debe cumplir a los efectos de la rendición de cuentas de dichas partidas;</w:t>
      </w:r>
    </w:p>
    <w:p w:rsidR="00B169A6" w:rsidRDefault="00B169A6" w:rsidP="00881D22">
      <w:pPr>
        <w:autoSpaceDE w:val="0"/>
        <w:autoSpaceDN w:val="0"/>
        <w:adjustRightInd w:val="0"/>
        <w:spacing w:after="0"/>
        <w:ind w:firstLine="2977"/>
        <w:jc w:val="both"/>
        <w:rPr>
          <w:rFonts w:ascii="Arial" w:hAnsi="Arial" w:cs="Arial"/>
          <w:sz w:val="24"/>
          <w:szCs w:val="24"/>
          <w:lang w:val="es-UY"/>
        </w:rPr>
      </w:pPr>
      <w:r>
        <w:rPr>
          <w:rFonts w:ascii="Arial" w:hAnsi="Arial" w:cs="Arial"/>
          <w:b/>
          <w:bCs/>
          <w:sz w:val="24"/>
          <w:szCs w:val="24"/>
          <w:lang w:val="es-UY"/>
        </w:rPr>
        <w:t xml:space="preserve">3) </w:t>
      </w:r>
      <w:r>
        <w:rPr>
          <w:rFonts w:ascii="Arial" w:hAnsi="Arial" w:cs="Arial"/>
          <w:sz w:val="24"/>
          <w:szCs w:val="24"/>
          <w:lang w:val="es-UY"/>
        </w:rPr>
        <w:t>que este Tribunal entiende que una partida puede ser rendida, aunque no esté ejecutada en su totalidad, siempre que se informe en forma documentada o comprobable respecto a la totalidad de los fondos;</w:t>
      </w:r>
    </w:p>
    <w:p w:rsidR="00B169A6" w:rsidRDefault="00B169A6" w:rsidP="00881D22">
      <w:pPr>
        <w:autoSpaceDE w:val="0"/>
        <w:autoSpaceDN w:val="0"/>
        <w:adjustRightInd w:val="0"/>
        <w:spacing w:after="0"/>
        <w:ind w:firstLine="2977"/>
        <w:jc w:val="both"/>
        <w:rPr>
          <w:rFonts w:ascii="Arial" w:hAnsi="Arial" w:cs="Arial"/>
          <w:sz w:val="24"/>
          <w:szCs w:val="24"/>
          <w:lang w:val="es-UY"/>
        </w:rPr>
      </w:pPr>
      <w:r>
        <w:rPr>
          <w:rFonts w:ascii="Arial" w:hAnsi="Arial" w:cs="Arial"/>
          <w:b/>
          <w:bCs/>
          <w:sz w:val="24"/>
          <w:szCs w:val="24"/>
          <w:lang w:val="es-UY"/>
        </w:rPr>
        <w:t xml:space="preserve">4) </w:t>
      </w:r>
      <w:r>
        <w:rPr>
          <w:rFonts w:ascii="Arial" w:hAnsi="Arial" w:cs="Arial"/>
          <w:sz w:val="24"/>
          <w:szCs w:val="24"/>
          <w:lang w:val="es-UY"/>
        </w:rPr>
        <w:t>que la Universidad deberá cumplir con el procedimiento definido en Sesión Ordinaria del Consejo Directivo Central de fecha 25 de marzo de 2014 a través de la C.D.C. 201/14 (Instructivo para la Rendición de Cuentas de la Partida establecida por el Artículo 57 del</w:t>
      </w:r>
      <w:r w:rsidR="00881D22">
        <w:rPr>
          <w:rFonts w:ascii="Arial" w:hAnsi="Arial" w:cs="Arial"/>
          <w:sz w:val="24"/>
          <w:szCs w:val="24"/>
          <w:lang w:val="es-UY"/>
        </w:rPr>
        <w:t xml:space="preserve"> Estatuto del Personal Docente);</w:t>
      </w:r>
    </w:p>
    <w:p w:rsidR="00B169A6" w:rsidRDefault="00B169A6" w:rsidP="00881D22">
      <w:pPr>
        <w:autoSpaceDE w:val="0"/>
        <w:autoSpaceDN w:val="0"/>
        <w:adjustRightInd w:val="0"/>
        <w:spacing w:after="0"/>
        <w:ind w:firstLine="851"/>
        <w:jc w:val="both"/>
        <w:rPr>
          <w:rFonts w:ascii="Arial" w:hAnsi="Arial" w:cs="Arial"/>
          <w:sz w:val="24"/>
          <w:szCs w:val="24"/>
          <w:lang w:val="es-UY"/>
        </w:rPr>
      </w:pPr>
      <w:r>
        <w:rPr>
          <w:rFonts w:ascii="Arial" w:hAnsi="Arial" w:cs="Arial"/>
          <w:b/>
          <w:bCs/>
          <w:sz w:val="24"/>
          <w:szCs w:val="24"/>
          <w:lang w:val="es-UY"/>
        </w:rPr>
        <w:t xml:space="preserve">ATENTO: </w:t>
      </w:r>
      <w:r>
        <w:rPr>
          <w:rFonts w:ascii="Arial" w:hAnsi="Arial" w:cs="Arial"/>
          <w:sz w:val="24"/>
          <w:szCs w:val="24"/>
          <w:lang w:val="es-UY"/>
        </w:rPr>
        <w:t xml:space="preserve">a lo expuesto precedentemente y a lo dispuesto por el </w:t>
      </w:r>
      <w:r w:rsidR="00DF677F">
        <w:rPr>
          <w:rFonts w:ascii="Arial" w:hAnsi="Arial" w:cs="Arial"/>
          <w:sz w:val="24"/>
          <w:szCs w:val="24"/>
          <w:lang w:val="es-UY"/>
        </w:rPr>
        <w:t>A</w:t>
      </w:r>
      <w:r>
        <w:rPr>
          <w:rFonts w:ascii="Arial" w:hAnsi="Arial" w:cs="Arial"/>
          <w:sz w:val="24"/>
          <w:szCs w:val="24"/>
          <w:lang w:val="es-UY"/>
        </w:rPr>
        <w:t>rt</w:t>
      </w:r>
      <w:r w:rsidR="00DF677F">
        <w:rPr>
          <w:rFonts w:ascii="Arial" w:hAnsi="Arial" w:cs="Arial"/>
          <w:sz w:val="24"/>
          <w:szCs w:val="24"/>
          <w:lang w:val="es-UY"/>
        </w:rPr>
        <w:t>ículo</w:t>
      </w:r>
      <w:r>
        <w:rPr>
          <w:rFonts w:ascii="Arial" w:hAnsi="Arial" w:cs="Arial"/>
          <w:sz w:val="24"/>
          <w:szCs w:val="24"/>
          <w:lang w:val="es-UY"/>
        </w:rPr>
        <w:t xml:space="preserve"> 211 Lit</w:t>
      </w:r>
      <w:r w:rsidR="00881D22">
        <w:rPr>
          <w:rFonts w:ascii="Arial" w:hAnsi="Arial" w:cs="Arial"/>
          <w:sz w:val="24"/>
          <w:szCs w:val="24"/>
          <w:lang w:val="es-UY"/>
        </w:rPr>
        <w:t>eral</w:t>
      </w:r>
      <w:r>
        <w:rPr>
          <w:rFonts w:ascii="Arial" w:hAnsi="Arial" w:cs="Arial"/>
          <w:sz w:val="24"/>
          <w:szCs w:val="24"/>
          <w:lang w:val="es-UY"/>
        </w:rPr>
        <w:t xml:space="preserve"> E) de la Constitución de la República;</w:t>
      </w:r>
    </w:p>
    <w:p w:rsidR="00B169A6" w:rsidRDefault="00B169A6">
      <w:pPr>
        <w:autoSpaceDE w:val="0"/>
        <w:autoSpaceDN w:val="0"/>
        <w:adjustRightInd w:val="0"/>
        <w:spacing w:after="0"/>
        <w:ind w:firstLine="113"/>
        <w:jc w:val="center"/>
        <w:rPr>
          <w:rFonts w:ascii="Arial" w:hAnsi="Arial" w:cs="Arial"/>
          <w:b/>
          <w:bCs/>
          <w:sz w:val="24"/>
          <w:szCs w:val="24"/>
          <w:lang w:val="es-UY"/>
        </w:rPr>
      </w:pPr>
      <w:r>
        <w:rPr>
          <w:rFonts w:ascii="Arial" w:hAnsi="Arial" w:cs="Arial"/>
          <w:b/>
          <w:bCs/>
          <w:sz w:val="24"/>
          <w:szCs w:val="24"/>
          <w:lang w:val="es-UY"/>
        </w:rPr>
        <w:t>EL TRIBUNAL ACUERDA</w:t>
      </w:r>
    </w:p>
    <w:p w:rsidR="00B169A6" w:rsidRPr="00881D22" w:rsidRDefault="00881D22" w:rsidP="00881D22">
      <w:pPr>
        <w:autoSpaceDE w:val="0"/>
        <w:autoSpaceDN w:val="0"/>
        <w:adjustRightInd w:val="0"/>
        <w:spacing w:after="0"/>
        <w:ind w:left="284" w:hanging="284"/>
        <w:jc w:val="both"/>
        <w:rPr>
          <w:rFonts w:ascii="Arial" w:hAnsi="Arial" w:cs="Arial"/>
          <w:sz w:val="24"/>
          <w:szCs w:val="24"/>
          <w:lang w:val="es-UY"/>
        </w:rPr>
      </w:pPr>
      <w:r w:rsidRPr="00881D22">
        <w:rPr>
          <w:rFonts w:ascii="Arial" w:hAnsi="Arial" w:cs="Arial"/>
          <w:b/>
          <w:sz w:val="24"/>
          <w:szCs w:val="24"/>
          <w:lang w:val="es-UY"/>
        </w:rPr>
        <w:t>1)</w:t>
      </w:r>
      <w:r>
        <w:rPr>
          <w:rFonts w:ascii="Arial" w:hAnsi="Arial" w:cs="Arial"/>
          <w:sz w:val="24"/>
          <w:szCs w:val="24"/>
          <w:lang w:val="es-UY"/>
        </w:rPr>
        <w:t xml:space="preserve"> </w:t>
      </w:r>
      <w:r w:rsidR="00B169A6" w:rsidRPr="00881D22">
        <w:rPr>
          <w:rFonts w:ascii="Arial" w:hAnsi="Arial" w:cs="Arial"/>
          <w:sz w:val="24"/>
          <w:szCs w:val="24"/>
          <w:lang w:val="es-UY"/>
        </w:rPr>
        <w:t>Ratificar lo actuado por la Contadora Delegada en la Facultad de Agronomía de la Universidad de la República respecto a la Rendición de Cuentas de la partida para</w:t>
      </w:r>
      <w:r w:rsidR="005E084E">
        <w:rPr>
          <w:rFonts w:ascii="Arial" w:hAnsi="Arial" w:cs="Arial"/>
          <w:sz w:val="24"/>
          <w:szCs w:val="24"/>
          <w:lang w:val="es-UY"/>
        </w:rPr>
        <w:t xml:space="preserve"> gastos del A</w:t>
      </w:r>
      <w:r w:rsidR="00B169A6" w:rsidRPr="00881D22">
        <w:rPr>
          <w:rFonts w:ascii="Arial" w:hAnsi="Arial" w:cs="Arial"/>
          <w:sz w:val="24"/>
          <w:szCs w:val="24"/>
          <w:lang w:val="es-UY"/>
        </w:rPr>
        <w:t xml:space="preserve">rtículo 57 Inciso 2 del Estatuto del Personal Docente del mes de febrero </w:t>
      </w:r>
      <w:r w:rsidR="005E084E">
        <w:rPr>
          <w:rFonts w:ascii="Arial" w:hAnsi="Arial" w:cs="Arial"/>
          <w:sz w:val="24"/>
          <w:szCs w:val="24"/>
          <w:lang w:val="es-UY"/>
        </w:rPr>
        <w:t xml:space="preserve">de </w:t>
      </w:r>
      <w:r w:rsidR="00B169A6" w:rsidRPr="00881D22">
        <w:rPr>
          <w:rFonts w:ascii="Arial" w:hAnsi="Arial" w:cs="Arial"/>
          <w:sz w:val="24"/>
          <w:szCs w:val="24"/>
          <w:lang w:val="es-UY"/>
        </w:rPr>
        <w:t>2014;</w:t>
      </w:r>
    </w:p>
    <w:p w:rsidR="00B169A6" w:rsidRPr="00881D22" w:rsidRDefault="00881D22" w:rsidP="00881D22">
      <w:pPr>
        <w:autoSpaceDE w:val="0"/>
        <w:autoSpaceDN w:val="0"/>
        <w:adjustRightInd w:val="0"/>
        <w:spacing w:after="0"/>
        <w:jc w:val="both"/>
        <w:rPr>
          <w:rFonts w:ascii="Arial" w:hAnsi="Arial" w:cs="Arial"/>
          <w:sz w:val="24"/>
          <w:szCs w:val="24"/>
          <w:lang w:val="es-UY"/>
        </w:rPr>
      </w:pPr>
      <w:r w:rsidRPr="00881D22">
        <w:rPr>
          <w:rFonts w:ascii="Arial" w:hAnsi="Arial" w:cs="Arial"/>
          <w:b/>
          <w:sz w:val="24"/>
          <w:szCs w:val="24"/>
          <w:lang w:val="es-UY"/>
        </w:rPr>
        <w:t>2)</w:t>
      </w:r>
      <w:r>
        <w:rPr>
          <w:rFonts w:ascii="Arial" w:hAnsi="Arial" w:cs="Arial"/>
          <w:sz w:val="24"/>
          <w:szCs w:val="24"/>
          <w:lang w:val="es-UY"/>
        </w:rPr>
        <w:t xml:space="preserve"> </w:t>
      </w:r>
      <w:r w:rsidR="00B169A6" w:rsidRPr="00881D22">
        <w:rPr>
          <w:rFonts w:ascii="Arial" w:hAnsi="Arial" w:cs="Arial"/>
          <w:sz w:val="24"/>
          <w:szCs w:val="24"/>
          <w:lang w:val="es-UY"/>
        </w:rPr>
        <w:t>Téngase presente lo expresado en los Considerandos 2), 3) y 4);</w:t>
      </w:r>
    </w:p>
    <w:p w:rsidR="00B169A6" w:rsidRPr="00881D22" w:rsidRDefault="00881D22" w:rsidP="00881D22">
      <w:pPr>
        <w:autoSpaceDE w:val="0"/>
        <w:autoSpaceDN w:val="0"/>
        <w:adjustRightInd w:val="0"/>
        <w:spacing w:after="0"/>
        <w:jc w:val="both"/>
        <w:rPr>
          <w:rFonts w:ascii="Arial" w:hAnsi="Arial" w:cs="Arial"/>
          <w:sz w:val="24"/>
          <w:szCs w:val="24"/>
          <w:lang w:val="es-UY"/>
        </w:rPr>
      </w:pPr>
      <w:r w:rsidRPr="00881D22">
        <w:rPr>
          <w:rFonts w:ascii="Arial" w:hAnsi="Arial" w:cs="Arial"/>
          <w:b/>
          <w:sz w:val="24"/>
          <w:szCs w:val="24"/>
          <w:lang w:val="es-UY"/>
        </w:rPr>
        <w:t>3)</w:t>
      </w:r>
      <w:r>
        <w:rPr>
          <w:rFonts w:ascii="Arial" w:hAnsi="Arial" w:cs="Arial"/>
          <w:sz w:val="24"/>
          <w:szCs w:val="24"/>
          <w:lang w:val="es-UY"/>
        </w:rPr>
        <w:t xml:space="preserve"> </w:t>
      </w:r>
      <w:r w:rsidR="00B169A6" w:rsidRPr="00881D22">
        <w:rPr>
          <w:rFonts w:ascii="Arial" w:hAnsi="Arial" w:cs="Arial"/>
          <w:sz w:val="24"/>
          <w:szCs w:val="24"/>
          <w:lang w:val="es-UY"/>
        </w:rPr>
        <w:t>Comunicar a la Facultad de Agronomía y a la Contadora Delegada;</w:t>
      </w:r>
    </w:p>
    <w:p w:rsidR="00B169A6" w:rsidRDefault="00881D22" w:rsidP="00881D22">
      <w:pPr>
        <w:autoSpaceDE w:val="0"/>
        <w:autoSpaceDN w:val="0"/>
        <w:adjustRightInd w:val="0"/>
        <w:spacing w:after="0"/>
        <w:jc w:val="both"/>
        <w:rPr>
          <w:rFonts w:ascii="Arial" w:hAnsi="Arial" w:cs="Arial"/>
          <w:sz w:val="24"/>
          <w:szCs w:val="24"/>
          <w:lang w:val="es-UY"/>
        </w:rPr>
      </w:pPr>
      <w:r w:rsidRPr="00881D22">
        <w:rPr>
          <w:rFonts w:ascii="Arial" w:hAnsi="Arial" w:cs="Arial"/>
          <w:b/>
          <w:sz w:val="24"/>
          <w:szCs w:val="24"/>
          <w:lang w:val="es-UY"/>
        </w:rPr>
        <w:t>4)</w:t>
      </w:r>
      <w:r>
        <w:rPr>
          <w:rFonts w:ascii="Arial" w:hAnsi="Arial" w:cs="Arial"/>
          <w:sz w:val="24"/>
          <w:szCs w:val="24"/>
          <w:lang w:val="es-UY"/>
        </w:rPr>
        <w:t xml:space="preserve"> </w:t>
      </w:r>
      <w:r w:rsidR="00B169A6" w:rsidRPr="00881D22">
        <w:rPr>
          <w:rFonts w:ascii="Arial" w:hAnsi="Arial" w:cs="Arial"/>
          <w:sz w:val="24"/>
          <w:szCs w:val="24"/>
          <w:lang w:val="es-UY"/>
        </w:rPr>
        <w:t>Dar cuenta a la Asamblea General.</w:t>
      </w:r>
    </w:p>
    <w:p w:rsidR="00B169A6" w:rsidRDefault="00881D22" w:rsidP="00882865">
      <w:pPr>
        <w:autoSpaceDE w:val="0"/>
        <w:autoSpaceDN w:val="0"/>
        <w:adjustRightInd w:val="0"/>
        <w:spacing w:after="0"/>
        <w:jc w:val="both"/>
        <w:rPr>
          <w:rFonts w:ascii="Arial" w:hAnsi="Arial" w:cs="Arial"/>
          <w:sz w:val="24"/>
          <w:szCs w:val="24"/>
          <w:lang w:val="es-UY"/>
        </w:rPr>
      </w:pPr>
      <w:proofErr w:type="spellStart"/>
      <w:proofErr w:type="gramStart"/>
      <w:r>
        <w:rPr>
          <w:rFonts w:ascii="Arial" w:hAnsi="Arial" w:cs="Arial"/>
          <w:sz w:val="24"/>
          <w:szCs w:val="24"/>
          <w:lang w:val="es-UY"/>
        </w:rPr>
        <w:t>ag</w:t>
      </w:r>
      <w:proofErr w:type="spellEnd"/>
      <w:proofErr w:type="gramEnd"/>
    </w:p>
    <w:sectPr w:rsidR="00B169A6" w:rsidSect="0081021E">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A6" w:rsidRDefault="00B169A6">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B169A6" w:rsidRDefault="00B169A6">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A6" w:rsidRDefault="00B169A6">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B169A6" w:rsidRDefault="00B169A6">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55738"/>
    <w:multiLevelType w:val="hybridMultilevel"/>
    <w:tmpl w:val="E092C2A0"/>
    <w:lvl w:ilvl="0" w:tplc="236C64DA">
      <w:start w:val="1"/>
      <w:numFmt w:val="decimal"/>
      <w:lvlText w:val="%1."/>
      <w:lvlJc w:val="left"/>
      <w:pPr>
        <w:ind w:left="720" w:hanging="360"/>
      </w:pPr>
      <w:rPr>
        <w:rFonts w:ascii="Times New Roman" w:hAnsi="Times New Roman" w:cs="Times New Roman"/>
        <w:b/>
        <w:bCs/>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A6"/>
    <w:rsid w:val="00542DB8"/>
    <w:rsid w:val="005E084E"/>
    <w:rsid w:val="0081021E"/>
    <w:rsid w:val="00881D22"/>
    <w:rsid w:val="00882865"/>
    <w:rsid w:val="00B169A6"/>
    <w:rsid w:val="00B5267B"/>
    <w:rsid w:val="00C841F6"/>
    <w:rsid w:val="00DA2834"/>
    <w:rsid w:val="00DF677F"/>
    <w:rsid w:val="00F2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360" w:lineRule="auto"/>
    </w:pPr>
    <w:rPr>
      <w:rFonts w:ascii="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Times New Roman" w:hAnsi="Times New Roman" w:cs="Times New Roma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Times New Roman" w:hAnsi="Times New Roman" w:cs="Times New Roman"/>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360" w:lineRule="auto"/>
    </w:pPr>
    <w:rPr>
      <w:rFonts w:ascii="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rFonts w:ascii="Times New Roman" w:hAnsi="Times New Roman" w:cs="Times New Roman"/>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Times New Roman" w:hAnsi="Times New Roman" w:cs="Times New Roman"/>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375</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EE</vt:lpstr>
    </vt:vector>
  </TitlesOfParts>
  <Company>TCR</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dc:title>
  <dc:subject/>
  <dc:creator>Tribunal 1</dc:creator>
  <cp:keywords/>
  <dc:description/>
  <cp:lastModifiedBy> </cp:lastModifiedBy>
  <cp:revision>13</cp:revision>
  <cp:lastPrinted>2014-06-30T17:58:00Z</cp:lastPrinted>
  <dcterms:created xsi:type="dcterms:W3CDTF">2014-06-30T17:46:00Z</dcterms:created>
  <dcterms:modified xsi:type="dcterms:W3CDTF">2014-07-28T19:13:00Z</dcterms:modified>
</cp:coreProperties>
</file>