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7C9" w:rsidRDefault="00EF47C9">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EF47C9" w:rsidRDefault="00EF47C9">
      <w:pPr>
        <w:tabs>
          <w:tab w:val="left" w:pos="-720"/>
        </w:tabs>
        <w:suppressAutoHyphens/>
        <w:jc w:val="center"/>
        <w:rPr>
          <w:rFonts w:ascii="Helvetica" w:hAnsi="Helvetica"/>
          <w:b/>
          <w:lang w:val="es-ES_tradnl"/>
        </w:rPr>
      </w:pPr>
    </w:p>
    <w:p w:rsidR="00EF47C9" w:rsidRDefault="00EF47C9">
      <w:pPr>
        <w:tabs>
          <w:tab w:val="center" w:pos="4253"/>
        </w:tabs>
        <w:suppressAutoHyphens/>
        <w:jc w:val="center"/>
        <w:rPr>
          <w:rFonts w:ascii="Helvetica" w:hAnsi="Helvetica"/>
          <w:b/>
          <w:lang w:val="es-ES_tradnl"/>
        </w:rPr>
      </w:pPr>
      <w:r>
        <w:rPr>
          <w:rFonts w:ascii="Helvetica" w:hAnsi="Helvetica"/>
          <w:b/>
          <w:lang w:val="es-ES_tradnl"/>
        </w:rPr>
        <w:t>TRIBUNAL DE CUENTAS</w:t>
      </w:r>
    </w:p>
    <w:p w:rsidR="00EF47C9" w:rsidRDefault="00EF47C9">
      <w:pPr>
        <w:tabs>
          <w:tab w:val="left" w:pos="-720"/>
        </w:tabs>
        <w:suppressAutoHyphens/>
        <w:jc w:val="center"/>
        <w:rPr>
          <w:rFonts w:ascii="Helvetica" w:hAnsi="Helvetica"/>
          <w:b/>
          <w:lang w:val="es-ES_tradnl"/>
        </w:rPr>
      </w:pPr>
    </w:p>
    <w:p w:rsidR="00EF47C9" w:rsidRDefault="00EF47C9">
      <w:pPr>
        <w:tabs>
          <w:tab w:val="center" w:pos="4253"/>
        </w:tabs>
        <w:suppressAutoHyphens/>
        <w:jc w:val="center"/>
        <w:rPr>
          <w:rFonts w:ascii="Helvetica" w:hAnsi="Helvetica"/>
          <w:b/>
          <w:lang w:val="es-ES_tradnl"/>
        </w:rPr>
      </w:pPr>
      <w:r>
        <w:rPr>
          <w:rFonts w:ascii="Helvetica" w:hAnsi="Helvetica"/>
          <w:b/>
          <w:lang w:val="es-ES_tradnl"/>
        </w:rPr>
        <w:t>EN SESION DE FECHA  9  DE JULIO  DE 2014</w:t>
      </w:r>
    </w:p>
    <w:p w:rsidR="00EF47C9" w:rsidRDefault="00EF47C9">
      <w:pPr>
        <w:tabs>
          <w:tab w:val="center" w:pos="4253"/>
        </w:tabs>
        <w:suppressAutoHyphens/>
        <w:jc w:val="center"/>
        <w:rPr>
          <w:rFonts w:ascii="Helvetica" w:hAnsi="Helvetica"/>
          <w:b/>
          <w:lang w:val="es-ES_tradnl"/>
        </w:rPr>
      </w:pPr>
    </w:p>
    <w:p w:rsidR="00EF47C9" w:rsidRPr="00EF47C9" w:rsidRDefault="00EF47C9">
      <w:pPr>
        <w:tabs>
          <w:tab w:val="center" w:pos="4253"/>
        </w:tabs>
        <w:suppressAutoHyphens/>
        <w:jc w:val="center"/>
        <w:rPr>
          <w:rFonts w:ascii="Helvetica" w:hAnsi="Helvetica"/>
          <w:b/>
          <w:lang w:val="es-ES_tradnl"/>
        </w:rPr>
      </w:pPr>
      <w:r w:rsidRPr="00EF1465">
        <w:rPr>
          <w:rFonts w:ascii="Helvetica" w:hAnsi="Helvetica"/>
          <w:b/>
          <w:lang w:val="es-ES_tradnl"/>
        </w:rPr>
        <w:t xml:space="preserve">(E. E. Nº 2014-17-1-0004756, </w:t>
      </w:r>
      <w:proofErr w:type="spellStart"/>
      <w:r w:rsidRPr="00EF1465">
        <w:rPr>
          <w:rFonts w:ascii="Helvetica" w:hAnsi="Helvetica"/>
          <w:b/>
          <w:lang w:val="es-ES_tradnl"/>
        </w:rPr>
        <w:t>Ent</w:t>
      </w:r>
      <w:proofErr w:type="spellEnd"/>
      <w:r w:rsidRPr="00EF1465">
        <w:rPr>
          <w:rFonts w:ascii="Helvetica" w:hAnsi="Helvetica"/>
          <w:b/>
          <w:lang w:val="es-ES_tradnl"/>
        </w:rPr>
        <w:t xml:space="preserve">. </w:t>
      </w:r>
      <w:r w:rsidRPr="00EF47C9">
        <w:rPr>
          <w:rFonts w:ascii="Helvetica" w:hAnsi="Helvetica"/>
          <w:b/>
          <w:lang w:val="es-ES_tradnl"/>
        </w:rPr>
        <w:t xml:space="preserve">N° </w:t>
      </w:r>
      <w:r w:rsidR="00762EAC">
        <w:rPr>
          <w:rFonts w:ascii="Helvetica" w:hAnsi="Helvetica"/>
          <w:b/>
          <w:lang w:val="es-ES_tradnl"/>
        </w:rPr>
        <w:t>3618/14</w:t>
      </w:r>
      <w:r w:rsidRPr="00EF47C9">
        <w:rPr>
          <w:rFonts w:ascii="Helvetica" w:hAnsi="Helvetica"/>
          <w:b/>
          <w:lang w:val="es-ES_tradnl"/>
        </w:rPr>
        <w:t>)</w:t>
      </w:r>
    </w:p>
    <w:p w:rsidR="00EF47C9" w:rsidRPr="00EF47C9" w:rsidRDefault="00EF47C9">
      <w:pPr>
        <w:tabs>
          <w:tab w:val="center" w:pos="4253"/>
        </w:tabs>
        <w:suppressAutoHyphens/>
        <w:jc w:val="center"/>
        <w:rPr>
          <w:rFonts w:ascii="Arial" w:hAnsi="Arial"/>
          <w:spacing w:val="-3"/>
          <w:lang w:val="es-ES_tradnl"/>
        </w:rPr>
      </w:pPr>
    </w:p>
    <w:p w:rsidR="00EF47C9" w:rsidRPr="00EF47C9" w:rsidRDefault="00EF47C9">
      <w:pPr>
        <w:tabs>
          <w:tab w:val="center" w:pos="4253"/>
        </w:tabs>
        <w:suppressAutoHyphens/>
        <w:rPr>
          <w:rFonts w:ascii="Arial" w:hAnsi="Arial"/>
          <w:spacing w:val="-3"/>
          <w:lang w:val="es-ES_tradnl"/>
        </w:rPr>
      </w:pPr>
    </w:p>
    <w:p w:rsidR="0081413B" w:rsidRDefault="0081413B" w:rsidP="00EF1465">
      <w:pPr>
        <w:spacing w:line="360" w:lineRule="auto"/>
        <w:ind w:firstLine="851"/>
        <w:jc w:val="both"/>
        <w:rPr>
          <w:rFonts w:ascii="Arial" w:hAnsi="Arial" w:cs="Arial"/>
        </w:rPr>
      </w:pPr>
      <w:r w:rsidRPr="00622504">
        <w:rPr>
          <w:rFonts w:ascii="Arial" w:hAnsi="Arial" w:cs="Arial"/>
          <w:b/>
        </w:rPr>
        <w:t>VISTO:</w:t>
      </w:r>
      <w:r>
        <w:rPr>
          <w:rFonts w:ascii="Arial" w:hAnsi="Arial" w:cs="Arial"/>
        </w:rPr>
        <w:t xml:space="preserve"> las nuevas actuaciones remitidas por e</w:t>
      </w:r>
      <w:r w:rsidRPr="002E5195">
        <w:rPr>
          <w:rFonts w:ascii="Arial" w:hAnsi="Arial" w:cs="Arial"/>
        </w:rPr>
        <w:t>l Ministerio de Transporte y Obras Públicas relacionadas con</w:t>
      </w:r>
      <w:r>
        <w:rPr>
          <w:rFonts w:ascii="Arial" w:hAnsi="Arial" w:cs="Arial"/>
        </w:rPr>
        <w:t xml:space="preserve"> el Contrato de Concesión de Obras Públicas “Ruta Nº 5, Accesos a Montevideo – Mendoza (progresivas 11k300 y 69k000)” adjudicada a la firma Hernández y González S.A., según el Llamado a Licitación Pública Internacional Nº 78/998; </w:t>
      </w:r>
    </w:p>
    <w:p w:rsidR="0081413B" w:rsidRPr="00622504" w:rsidRDefault="0081413B" w:rsidP="00EF1465">
      <w:pPr>
        <w:spacing w:line="360" w:lineRule="auto"/>
        <w:ind w:firstLine="851"/>
        <w:jc w:val="both"/>
        <w:rPr>
          <w:rFonts w:ascii="Arial" w:hAnsi="Arial" w:cs="Arial"/>
        </w:rPr>
      </w:pPr>
      <w:r w:rsidRPr="00622504">
        <w:rPr>
          <w:rFonts w:ascii="Arial" w:hAnsi="Arial" w:cs="Arial"/>
          <w:b/>
        </w:rPr>
        <w:t>RESULTANDO: 1)</w:t>
      </w:r>
      <w:r>
        <w:rPr>
          <w:rFonts w:ascii="Arial" w:hAnsi="Arial" w:cs="Arial"/>
        </w:rPr>
        <w:t xml:space="preserve"> que c</w:t>
      </w:r>
      <w:r w:rsidRPr="00622504">
        <w:rPr>
          <w:rFonts w:ascii="Arial" w:hAnsi="Arial" w:cs="Arial"/>
        </w:rPr>
        <w:t>onforme surge de la Resolución de este Tribunal de fecha 11 de agosto de 2010, las actuaciones oportunamente remitidas son las siguientes:</w:t>
      </w:r>
    </w:p>
    <w:p w:rsidR="0081413B" w:rsidRPr="00622504" w:rsidRDefault="0081413B" w:rsidP="00EF1465">
      <w:pPr>
        <w:spacing w:line="360" w:lineRule="auto"/>
        <w:jc w:val="both"/>
        <w:rPr>
          <w:rFonts w:ascii="Arial" w:hAnsi="Arial" w:cs="Arial"/>
        </w:rPr>
      </w:pPr>
      <w:r w:rsidRPr="00622504">
        <w:rPr>
          <w:rFonts w:ascii="Arial" w:hAnsi="Arial" w:cs="Arial"/>
          <w:b/>
        </w:rPr>
        <w:t>1.1)</w:t>
      </w:r>
      <w:r>
        <w:rPr>
          <w:rFonts w:ascii="Arial" w:hAnsi="Arial" w:cs="Arial"/>
        </w:rPr>
        <w:t xml:space="preserve"> </w:t>
      </w:r>
      <w:r w:rsidRPr="00622504">
        <w:rPr>
          <w:rFonts w:ascii="Arial" w:hAnsi="Arial" w:cs="Arial"/>
        </w:rPr>
        <w:t xml:space="preserve">En Sesión de fecha 11 de agosto de 1999, este Tribunal no formuló observaciones a la adjudicación del proceso licitatorio, debiendo remitirse copia de la Resolución adoptada por el Ordenador competente. Con fecha 29 de setiembre de 1999, el Poder Ejecutivo dictó </w:t>
      </w:r>
      <w:smartTag w:uri="urn:schemas-microsoft-com:office:smarttags" w:element="PersonName">
        <w:smartTagPr>
          <w:attr w:name="ProductID" w:val="la Resolución"/>
        </w:smartTagPr>
        <w:r w:rsidRPr="00622504">
          <w:rPr>
            <w:rFonts w:ascii="Arial" w:hAnsi="Arial" w:cs="Arial"/>
          </w:rPr>
          <w:t>la Resolución</w:t>
        </w:r>
      </w:smartTag>
      <w:r w:rsidRPr="00622504">
        <w:rPr>
          <w:rFonts w:ascii="Arial" w:hAnsi="Arial" w:cs="Arial"/>
        </w:rPr>
        <w:t xml:space="preserve"> de adjudicación correspondiente, de la cual este Tribunal tomó conocimiento el 15 de octubre de 1999; </w:t>
      </w:r>
    </w:p>
    <w:p w:rsidR="0081413B" w:rsidRPr="00622504" w:rsidRDefault="0081413B" w:rsidP="00EF1465">
      <w:pPr>
        <w:spacing w:line="360" w:lineRule="auto"/>
        <w:jc w:val="both"/>
        <w:rPr>
          <w:rFonts w:ascii="Arial" w:hAnsi="Arial" w:cs="Arial"/>
        </w:rPr>
      </w:pPr>
      <w:r w:rsidRPr="00622504">
        <w:rPr>
          <w:rFonts w:ascii="Arial" w:hAnsi="Arial" w:cs="Arial"/>
          <w:b/>
        </w:rPr>
        <w:t>1.2)</w:t>
      </w:r>
      <w:r>
        <w:rPr>
          <w:rFonts w:ascii="Arial" w:hAnsi="Arial" w:cs="Arial"/>
        </w:rPr>
        <w:t xml:space="preserve"> </w:t>
      </w:r>
      <w:r w:rsidRPr="00622504">
        <w:rPr>
          <w:rFonts w:ascii="Arial" w:hAnsi="Arial" w:cs="Arial"/>
        </w:rPr>
        <w:t>Posteriormente, volvieron las actuaciones, en virtud de que la empresa adjudicataria, solicitó modificar las garantías otorgadas, a lo cual este Tribunal en Sesión de fecha 20 de mayo de 2004, no formuló observaciones;</w:t>
      </w:r>
    </w:p>
    <w:p w:rsidR="0081413B" w:rsidRDefault="0081413B" w:rsidP="00EF1465">
      <w:pPr>
        <w:spacing w:line="360" w:lineRule="auto"/>
        <w:jc w:val="both"/>
        <w:rPr>
          <w:rFonts w:ascii="Arial" w:hAnsi="Arial" w:cs="Arial"/>
        </w:rPr>
      </w:pPr>
      <w:r w:rsidRPr="00622504">
        <w:rPr>
          <w:rFonts w:ascii="Arial" w:hAnsi="Arial" w:cs="Arial"/>
          <w:b/>
        </w:rPr>
        <w:t>1.3)</w:t>
      </w:r>
      <w:r>
        <w:rPr>
          <w:rFonts w:ascii="Arial" w:hAnsi="Arial" w:cs="Arial"/>
        </w:rPr>
        <w:t xml:space="preserve"> </w:t>
      </w:r>
      <w:r w:rsidRPr="00622504">
        <w:rPr>
          <w:rFonts w:ascii="Arial" w:hAnsi="Arial" w:cs="Arial"/>
        </w:rPr>
        <w:t xml:space="preserve">Nuevamente, volvieron las actuaciones a la intervención de este Tribunal, a efectos de la intervención de modificaciones efectuadas </w:t>
      </w:r>
      <w:r w:rsidR="00127D05">
        <w:rPr>
          <w:rFonts w:ascii="Arial" w:hAnsi="Arial" w:cs="Arial"/>
        </w:rPr>
        <w:t xml:space="preserve">en </w:t>
      </w:r>
      <w:r w:rsidRPr="00622504">
        <w:rPr>
          <w:rFonts w:ascii="Arial" w:hAnsi="Arial" w:cs="Arial"/>
        </w:rPr>
        <w:t xml:space="preserve">el contrato de concesión, en cuanto a: </w:t>
      </w:r>
      <w:r w:rsidR="00127D05">
        <w:rPr>
          <w:rFonts w:ascii="Arial" w:hAnsi="Arial" w:cs="Arial"/>
        </w:rPr>
        <w:t>a</w:t>
      </w:r>
      <w:r w:rsidRPr="00622504">
        <w:rPr>
          <w:rFonts w:ascii="Arial" w:hAnsi="Arial" w:cs="Arial"/>
        </w:rPr>
        <w:t xml:space="preserve">decuación del cronograma de obras; </w:t>
      </w:r>
      <w:r w:rsidR="00127D05">
        <w:rPr>
          <w:rFonts w:ascii="Arial" w:hAnsi="Arial" w:cs="Arial"/>
        </w:rPr>
        <w:t>m</w:t>
      </w:r>
      <w:r w:rsidRPr="00622504">
        <w:rPr>
          <w:rFonts w:ascii="Arial" w:hAnsi="Arial" w:cs="Arial"/>
        </w:rPr>
        <w:t>odificación de las garantías;</w:t>
      </w:r>
      <w:r>
        <w:rPr>
          <w:rFonts w:ascii="Arial" w:hAnsi="Arial" w:cs="Arial"/>
        </w:rPr>
        <w:t xml:space="preserve"> y </w:t>
      </w:r>
      <w:r w:rsidR="00127D05">
        <w:rPr>
          <w:rFonts w:ascii="Arial" w:hAnsi="Arial" w:cs="Arial"/>
        </w:rPr>
        <w:t>r</w:t>
      </w:r>
      <w:r w:rsidRPr="00622504">
        <w:rPr>
          <w:rFonts w:ascii="Arial" w:hAnsi="Arial" w:cs="Arial"/>
        </w:rPr>
        <w:t xml:space="preserve">ebaja del Valor Presente de los Ingresos de la Concesionaria. Este Tribunal no formuló observaciones en acuerdo de 30 de junio de 2004, el que fue aprobado por Resolución del Poder Ejecutivo el 14 de julio de 2004; </w:t>
      </w:r>
    </w:p>
    <w:p w:rsidR="0081413B" w:rsidRPr="00622504" w:rsidRDefault="0081413B" w:rsidP="00EF1465">
      <w:pPr>
        <w:spacing w:line="360" w:lineRule="auto"/>
        <w:ind w:firstLine="2694"/>
        <w:jc w:val="both"/>
        <w:rPr>
          <w:rFonts w:ascii="Arial" w:hAnsi="Arial" w:cs="Arial"/>
        </w:rPr>
      </w:pPr>
      <w:r>
        <w:rPr>
          <w:rFonts w:ascii="Arial" w:hAnsi="Arial" w:cs="Arial"/>
          <w:b/>
        </w:rPr>
        <w:lastRenderedPageBreak/>
        <w:t xml:space="preserve">2) </w:t>
      </w:r>
      <w:r w:rsidRPr="00622504">
        <w:rPr>
          <w:rFonts w:ascii="Arial" w:hAnsi="Arial" w:cs="Arial"/>
        </w:rPr>
        <w:t xml:space="preserve">que en su oportunidad se remitió un Acuerdo </w:t>
      </w:r>
      <w:r w:rsidR="00592F5E">
        <w:rPr>
          <w:rFonts w:ascii="Arial" w:hAnsi="Arial" w:cs="Arial"/>
        </w:rPr>
        <w:t xml:space="preserve">      </w:t>
      </w:r>
      <w:r w:rsidRPr="00622504">
        <w:rPr>
          <w:rFonts w:ascii="Arial" w:hAnsi="Arial" w:cs="Arial"/>
        </w:rPr>
        <w:t>Ad-Referéndum, suscrito el 28 de setiembre de 2009, entre el Organismo y la empresa Hernández y González S.A., por el cual se acordó, entre otras:</w:t>
      </w:r>
      <w:r>
        <w:rPr>
          <w:rFonts w:ascii="Arial" w:hAnsi="Arial" w:cs="Arial"/>
        </w:rPr>
        <w:t xml:space="preserve"> </w:t>
      </w:r>
      <w:r w:rsidR="006C415B">
        <w:rPr>
          <w:rFonts w:ascii="Arial" w:hAnsi="Arial" w:cs="Arial"/>
        </w:rPr>
        <w:t xml:space="preserve">               </w:t>
      </w:r>
      <w:r>
        <w:rPr>
          <w:rFonts w:ascii="Arial" w:hAnsi="Arial" w:cs="Arial"/>
        </w:rPr>
        <w:t>e</w:t>
      </w:r>
      <w:r w:rsidRPr="00622504">
        <w:rPr>
          <w:rFonts w:ascii="Arial" w:hAnsi="Arial" w:cs="Arial"/>
        </w:rPr>
        <w:t xml:space="preserve">l VPI se fijó en U$S 18:393.700 (sin IVA); </w:t>
      </w:r>
      <w:r>
        <w:rPr>
          <w:rFonts w:ascii="Arial" w:hAnsi="Arial" w:cs="Arial"/>
        </w:rPr>
        <w:t>l</w:t>
      </w:r>
      <w:r w:rsidRPr="00622504">
        <w:rPr>
          <w:rFonts w:ascii="Arial" w:hAnsi="Arial" w:cs="Arial"/>
        </w:rPr>
        <w:t>a tasa de descuento del VPI seguirá del 9%;</w:t>
      </w:r>
      <w:r>
        <w:rPr>
          <w:rFonts w:ascii="Arial" w:hAnsi="Arial" w:cs="Arial"/>
        </w:rPr>
        <w:t xml:space="preserve"> l</w:t>
      </w:r>
      <w:r w:rsidRPr="00622504">
        <w:rPr>
          <w:rFonts w:ascii="Arial" w:hAnsi="Arial" w:cs="Arial"/>
        </w:rPr>
        <w:t xml:space="preserve">a Tasa Interna de Retorno (TIR) será del 6,82%; </w:t>
      </w:r>
      <w:r>
        <w:rPr>
          <w:rFonts w:ascii="Arial" w:hAnsi="Arial" w:cs="Arial"/>
        </w:rPr>
        <w:t xml:space="preserve">se establecen la totalidad de las obras obligatorias a ejecutar; el seguro previsto en el </w:t>
      </w:r>
      <w:r w:rsidR="006C415B">
        <w:rPr>
          <w:rFonts w:ascii="Arial" w:hAnsi="Arial" w:cs="Arial"/>
        </w:rPr>
        <w:t xml:space="preserve">       </w:t>
      </w:r>
      <w:r>
        <w:rPr>
          <w:rFonts w:ascii="Arial" w:hAnsi="Arial" w:cs="Arial"/>
        </w:rPr>
        <w:t>Art</w:t>
      </w:r>
      <w:r w:rsidR="00013C3B">
        <w:rPr>
          <w:rFonts w:ascii="Arial" w:hAnsi="Arial" w:cs="Arial"/>
        </w:rPr>
        <w:t>ículo</w:t>
      </w:r>
      <w:r>
        <w:rPr>
          <w:rFonts w:ascii="Arial" w:hAnsi="Arial" w:cs="Arial"/>
        </w:rPr>
        <w:t xml:space="preserve"> 35 del Capítulo IX , de la Sección 1 del Pliego, será de U$S 1:000.000. </w:t>
      </w:r>
      <w:r w:rsidRPr="00622504">
        <w:rPr>
          <w:rFonts w:ascii="Arial" w:hAnsi="Arial" w:cs="Arial"/>
        </w:rPr>
        <w:t xml:space="preserve">Por </w:t>
      </w:r>
      <w:smartTag w:uri="urn:schemas-microsoft-com:office:smarttags" w:element="PersonName">
        <w:smartTagPr>
          <w:attr w:name="ProductID" w:val="la Cláusula"/>
        </w:smartTagPr>
        <w:r w:rsidRPr="00622504">
          <w:rPr>
            <w:rFonts w:ascii="Arial" w:hAnsi="Arial" w:cs="Arial"/>
          </w:rPr>
          <w:t>la Cláusula</w:t>
        </w:r>
      </w:smartTag>
      <w:r w:rsidRPr="00622504">
        <w:rPr>
          <w:rFonts w:ascii="Arial" w:hAnsi="Arial" w:cs="Arial"/>
        </w:rPr>
        <w:t xml:space="preserve"> 6ª, se establece que el acuerdo quedará incluido en los que menciona el Numeral 2.4) del Contrato de Concesión de Obra Pública de fecha 29 de octubre de 1999; </w:t>
      </w:r>
    </w:p>
    <w:p w:rsidR="0081413B" w:rsidRPr="00622504" w:rsidRDefault="0081413B" w:rsidP="00622504">
      <w:pPr>
        <w:spacing w:line="360" w:lineRule="auto"/>
        <w:jc w:val="both"/>
        <w:rPr>
          <w:rFonts w:ascii="Arial" w:hAnsi="Arial" w:cs="Arial"/>
        </w:rPr>
      </w:pPr>
      <w:r>
        <w:rPr>
          <w:rFonts w:ascii="Arial" w:hAnsi="Arial" w:cs="Arial"/>
          <w:b/>
        </w:rPr>
        <w:t xml:space="preserve">                                       </w:t>
      </w:r>
      <w:r w:rsidR="00E251C9">
        <w:rPr>
          <w:rFonts w:ascii="Arial" w:hAnsi="Arial" w:cs="Arial"/>
          <w:b/>
        </w:rPr>
        <w:t xml:space="preserve">     </w:t>
      </w:r>
      <w:r>
        <w:rPr>
          <w:rFonts w:ascii="Arial" w:hAnsi="Arial" w:cs="Arial"/>
          <w:b/>
        </w:rPr>
        <w:t xml:space="preserve">3) </w:t>
      </w:r>
      <w:r w:rsidRPr="00622504">
        <w:rPr>
          <w:rFonts w:ascii="Arial" w:hAnsi="Arial" w:cs="Arial"/>
        </w:rPr>
        <w:t>que</w:t>
      </w:r>
      <w:r>
        <w:rPr>
          <w:rFonts w:ascii="Arial" w:hAnsi="Arial" w:cs="Arial"/>
        </w:rPr>
        <w:t xml:space="preserve"> e</w:t>
      </w:r>
      <w:r w:rsidRPr="00622504">
        <w:rPr>
          <w:rFonts w:ascii="Arial" w:hAnsi="Arial" w:cs="Arial"/>
        </w:rPr>
        <w:t>ste Tribunal en Sesión de fecha 23 de marzo de 2010, acor</w:t>
      </w:r>
      <w:r w:rsidR="001556F4">
        <w:rPr>
          <w:rFonts w:ascii="Arial" w:hAnsi="Arial" w:cs="Arial"/>
        </w:rPr>
        <w:t>d</w:t>
      </w:r>
      <w:r w:rsidRPr="00622504">
        <w:rPr>
          <w:rFonts w:ascii="Arial" w:hAnsi="Arial" w:cs="Arial"/>
        </w:rPr>
        <w:t>ó no formular observaciones a la revisión del convenio oportunamente remitido, ad referéndum del Tribunal y del Poder Ejecutivo</w:t>
      </w:r>
      <w:r>
        <w:rPr>
          <w:rFonts w:ascii="Arial" w:hAnsi="Arial" w:cs="Arial"/>
        </w:rPr>
        <w:t xml:space="preserve">. </w:t>
      </w:r>
      <w:r w:rsidRPr="00622504">
        <w:rPr>
          <w:rFonts w:ascii="Arial" w:hAnsi="Arial" w:cs="Arial"/>
        </w:rPr>
        <w:t xml:space="preserve">En Sesión de fecha 11 de agosto de 2010, este Tribunal acordó no formular observaciones a la modificación de </w:t>
      </w:r>
      <w:smartTag w:uri="urn:schemas-microsoft-com:office:smarttags" w:element="PersonName">
        <w:smartTagPr>
          <w:attr w:name="ProductID" w:val="la Cláusula"/>
        </w:smartTagPr>
        <w:r w:rsidRPr="00622504">
          <w:rPr>
            <w:rFonts w:ascii="Arial" w:hAnsi="Arial" w:cs="Arial"/>
          </w:rPr>
          <w:t>la Cláusula</w:t>
        </w:r>
      </w:smartTag>
      <w:r w:rsidRPr="00622504">
        <w:rPr>
          <w:rFonts w:ascii="Arial" w:hAnsi="Arial" w:cs="Arial"/>
        </w:rPr>
        <w:t xml:space="preserve"> 60.3 de </w:t>
      </w:r>
      <w:smartTag w:uri="urn:schemas-microsoft-com:office:smarttags" w:element="PersonName">
        <w:smartTagPr>
          <w:attr w:name="ProductID" w:val="la Sección"/>
        </w:smartTagPr>
        <w:r w:rsidRPr="00622504">
          <w:rPr>
            <w:rFonts w:ascii="Arial" w:hAnsi="Arial" w:cs="Arial"/>
          </w:rPr>
          <w:t>la S</w:t>
        </w:r>
        <w:r>
          <w:rPr>
            <w:rFonts w:ascii="Arial" w:hAnsi="Arial" w:cs="Arial"/>
          </w:rPr>
          <w:t>ección</w:t>
        </w:r>
      </w:smartTag>
      <w:r>
        <w:rPr>
          <w:rFonts w:ascii="Arial" w:hAnsi="Arial" w:cs="Arial"/>
        </w:rPr>
        <w:t xml:space="preserve"> 1 del Pliego Particular; </w:t>
      </w:r>
    </w:p>
    <w:p w:rsidR="0081413B" w:rsidRPr="00622504" w:rsidRDefault="0081413B" w:rsidP="00E251C9">
      <w:pPr>
        <w:spacing w:line="360" w:lineRule="auto"/>
        <w:ind w:firstLine="2694"/>
        <w:jc w:val="both"/>
        <w:rPr>
          <w:rFonts w:ascii="Arial" w:hAnsi="Arial" w:cs="Arial"/>
        </w:rPr>
      </w:pPr>
      <w:r>
        <w:rPr>
          <w:rFonts w:ascii="Arial" w:hAnsi="Arial" w:cs="Arial"/>
          <w:b/>
        </w:rPr>
        <w:t xml:space="preserve">4) </w:t>
      </w:r>
      <w:r w:rsidRPr="00622504">
        <w:rPr>
          <w:rFonts w:ascii="Arial" w:hAnsi="Arial" w:cs="Arial"/>
        </w:rPr>
        <w:t>que</w:t>
      </w:r>
      <w:r>
        <w:rPr>
          <w:rFonts w:ascii="Arial" w:hAnsi="Arial" w:cs="Arial"/>
        </w:rPr>
        <w:t xml:space="preserve"> se adjunta </w:t>
      </w:r>
      <w:r w:rsidR="00447AC2">
        <w:rPr>
          <w:rFonts w:ascii="Arial" w:hAnsi="Arial" w:cs="Arial"/>
        </w:rPr>
        <w:t>N</w:t>
      </w:r>
      <w:r w:rsidRPr="00622504">
        <w:rPr>
          <w:rFonts w:ascii="Arial" w:hAnsi="Arial" w:cs="Arial"/>
        </w:rPr>
        <w:t>ota del Director Nacional de Vialidad, de fecha 22 de octubre de 2013, dirigida al Ministro de Transporte y Obras Públicas, de la que surge la necesidad de ejecución de las nuevas obras que se detallan:</w:t>
      </w:r>
    </w:p>
    <w:p w:rsidR="0081413B" w:rsidRPr="00622504" w:rsidRDefault="0081413B" w:rsidP="00E251C9">
      <w:pPr>
        <w:spacing w:line="360" w:lineRule="auto"/>
        <w:jc w:val="both"/>
        <w:rPr>
          <w:rFonts w:ascii="Arial" w:hAnsi="Arial" w:cs="Arial"/>
        </w:rPr>
      </w:pPr>
      <w:r w:rsidRPr="00622504">
        <w:rPr>
          <w:rFonts w:ascii="Arial" w:hAnsi="Arial" w:cs="Arial"/>
          <w:b/>
        </w:rPr>
        <w:t>4.1)</w:t>
      </w:r>
      <w:r>
        <w:rPr>
          <w:rFonts w:ascii="Arial" w:hAnsi="Arial" w:cs="Arial"/>
        </w:rPr>
        <w:t xml:space="preserve"> </w:t>
      </w:r>
      <w:r w:rsidRPr="00622504">
        <w:rPr>
          <w:rFonts w:ascii="Arial" w:hAnsi="Arial" w:cs="Arial"/>
        </w:rPr>
        <w:t>Intercambiador de tránsito  en Ruta 5 y Ruta 48, con las correspondientes obras viales, estructuras de hormigón e iluminación, señalización horizontal con pintura termoplástica en caliente y señalización vertical en grado alta intensidad, en toda la zona.</w:t>
      </w:r>
    </w:p>
    <w:p w:rsidR="0081413B" w:rsidRPr="00622504" w:rsidRDefault="0081413B" w:rsidP="00E251C9">
      <w:pPr>
        <w:spacing w:line="360" w:lineRule="auto"/>
        <w:jc w:val="both"/>
        <w:rPr>
          <w:rFonts w:ascii="Arial" w:hAnsi="Arial" w:cs="Arial"/>
        </w:rPr>
      </w:pPr>
      <w:r w:rsidRPr="00622504">
        <w:rPr>
          <w:rFonts w:ascii="Arial" w:hAnsi="Arial" w:cs="Arial"/>
          <w:b/>
        </w:rPr>
        <w:t>4.2)</w:t>
      </w:r>
      <w:r>
        <w:rPr>
          <w:rFonts w:ascii="Arial" w:hAnsi="Arial" w:cs="Arial"/>
        </w:rPr>
        <w:t xml:space="preserve"> </w:t>
      </w:r>
      <w:r w:rsidRPr="00622504">
        <w:rPr>
          <w:rFonts w:ascii="Arial" w:hAnsi="Arial" w:cs="Arial"/>
        </w:rPr>
        <w:t xml:space="preserve">Alargue de la alcantarilla ubicada en el 32k800 de la Ruta Nº 5, en una longitud de </w:t>
      </w:r>
      <w:smartTag w:uri="urn:schemas-microsoft-com:office:smarttags" w:element="metricconverter">
        <w:smartTagPr>
          <w:attr w:name="ProductID" w:val="3.00 metros"/>
        </w:smartTagPr>
        <w:r w:rsidRPr="00622504">
          <w:rPr>
            <w:rFonts w:ascii="Arial" w:hAnsi="Arial" w:cs="Arial"/>
          </w:rPr>
          <w:t>3.00 metros</w:t>
        </w:r>
      </w:smartTag>
      <w:r w:rsidRPr="00622504">
        <w:rPr>
          <w:rFonts w:ascii="Arial" w:hAnsi="Arial" w:cs="Arial"/>
        </w:rPr>
        <w:t xml:space="preserve"> y las obras viales correspondientes.</w:t>
      </w:r>
    </w:p>
    <w:p w:rsidR="0081413B" w:rsidRDefault="0081413B" w:rsidP="00E251C9">
      <w:pPr>
        <w:spacing w:line="360" w:lineRule="auto"/>
        <w:jc w:val="both"/>
        <w:rPr>
          <w:rFonts w:ascii="Arial" w:hAnsi="Arial" w:cs="Arial"/>
        </w:rPr>
      </w:pPr>
      <w:r w:rsidRPr="00622504">
        <w:rPr>
          <w:rFonts w:ascii="Arial" w:hAnsi="Arial" w:cs="Arial"/>
          <w:b/>
        </w:rPr>
        <w:t>4.3)</w:t>
      </w:r>
      <w:r>
        <w:rPr>
          <w:rFonts w:ascii="Arial" w:hAnsi="Arial" w:cs="Arial"/>
        </w:rPr>
        <w:t xml:space="preserve"> </w:t>
      </w:r>
      <w:proofErr w:type="spellStart"/>
      <w:r w:rsidRPr="00622504">
        <w:rPr>
          <w:rFonts w:ascii="Arial" w:hAnsi="Arial" w:cs="Arial"/>
        </w:rPr>
        <w:t>Recapados</w:t>
      </w:r>
      <w:proofErr w:type="spellEnd"/>
      <w:r w:rsidRPr="00622504">
        <w:rPr>
          <w:rFonts w:ascii="Arial" w:hAnsi="Arial" w:cs="Arial"/>
        </w:rPr>
        <w:t xml:space="preserve"> adicionales con incorporación de nuevas tecnologías, que implicaría bacheo previo y </w:t>
      </w:r>
      <w:proofErr w:type="spellStart"/>
      <w:r w:rsidRPr="00622504">
        <w:rPr>
          <w:rFonts w:ascii="Arial" w:hAnsi="Arial" w:cs="Arial"/>
        </w:rPr>
        <w:t>recapado</w:t>
      </w:r>
      <w:proofErr w:type="spellEnd"/>
      <w:r w:rsidRPr="00622504">
        <w:rPr>
          <w:rFonts w:ascii="Arial" w:hAnsi="Arial" w:cs="Arial"/>
        </w:rPr>
        <w:t xml:space="preserve"> con mezcla asfáltica con cemento modificado tipo AM3, en </w:t>
      </w:r>
      <w:smartTag w:uri="urn:schemas-microsoft-com:office:smarttags" w:element="metricconverter">
        <w:smartTagPr>
          <w:attr w:name="ProductID" w:val="669.911 m2"/>
        </w:smartTagPr>
        <w:r w:rsidRPr="00622504">
          <w:rPr>
            <w:rFonts w:ascii="Arial" w:hAnsi="Arial" w:cs="Arial"/>
          </w:rPr>
          <w:t>669.911 m2</w:t>
        </w:r>
      </w:smartTag>
      <w:r w:rsidRPr="00622504">
        <w:rPr>
          <w:rFonts w:ascii="Arial" w:hAnsi="Arial" w:cs="Arial"/>
        </w:rPr>
        <w:t xml:space="preserve"> de pavimentos, que representan el 67% </w:t>
      </w:r>
      <w:r w:rsidRPr="00622504">
        <w:rPr>
          <w:rFonts w:ascii="Arial" w:hAnsi="Arial" w:cs="Arial"/>
        </w:rPr>
        <w:lastRenderedPageBreak/>
        <w:t xml:space="preserve">del total pavimentado y corresponden a 8 de los 11 tramos en que está dividida la concesión, con la señalización horizontal de los mismos con pintura termoplástica. Estos </w:t>
      </w:r>
      <w:proofErr w:type="spellStart"/>
      <w:r w:rsidRPr="00622504">
        <w:rPr>
          <w:rFonts w:ascii="Arial" w:hAnsi="Arial" w:cs="Arial"/>
        </w:rPr>
        <w:t>recapados</w:t>
      </w:r>
      <w:proofErr w:type="spellEnd"/>
      <w:r w:rsidRPr="00622504">
        <w:rPr>
          <w:rFonts w:ascii="Arial" w:hAnsi="Arial" w:cs="Arial"/>
        </w:rPr>
        <w:t xml:space="preserve"> se ejecutarían en los siguientes tramos de </w:t>
      </w:r>
      <w:smartTag w:uri="urn:schemas-microsoft-com:office:smarttags" w:element="PersonName">
        <w:smartTagPr>
          <w:attr w:name="ProductID" w:val="la Ruta N"/>
        </w:smartTagPr>
        <w:r w:rsidRPr="00622504">
          <w:rPr>
            <w:rFonts w:ascii="Arial" w:hAnsi="Arial" w:cs="Arial"/>
          </w:rPr>
          <w:t>la Ruta N</w:t>
        </w:r>
      </w:smartTag>
      <w:r w:rsidRPr="00622504">
        <w:rPr>
          <w:rFonts w:ascii="Arial" w:hAnsi="Arial" w:cs="Arial"/>
        </w:rPr>
        <w:t xml:space="preserve">º 5 de </w:t>
      </w:r>
      <w:smartTag w:uri="urn:schemas-microsoft-com:office:smarttags" w:element="PersonName">
        <w:smartTagPr>
          <w:attr w:name="ProductID" w:val="la Concesión"/>
        </w:smartTagPr>
        <w:r w:rsidRPr="00622504">
          <w:rPr>
            <w:rFonts w:ascii="Arial" w:hAnsi="Arial" w:cs="Arial"/>
          </w:rPr>
          <w:t>la Concesión</w:t>
        </w:r>
      </w:smartTag>
      <w:r w:rsidRPr="00622504">
        <w:rPr>
          <w:rFonts w:ascii="Arial" w:hAnsi="Arial" w:cs="Arial"/>
        </w:rPr>
        <w:t xml:space="preserve">: Tramos 4 y 6, espesor </w:t>
      </w:r>
      <w:smartTag w:uri="urn:schemas-microsoft-com:office:smarttags" w:element="metricconverter">
        <w:smartTagPr>
          <w:attr w:name="ProductID" w:val="7 cm"/>
        </w:smartTagPr>
        <w:r w:rsidRPr="00622504">
          <w:rPr>
            <w:rFonts w:ascii="Arial" w:hAnsi="Arial" w:cs="Arial"/>
          </w:rPr>
          <w:t>7 cm</w:t>
        </w:r>
      </w:smartTag>
      <w:r w:rsidRPr="00622504">
        <w:rPr>
          <w:rFonts w:ascii="Arial" w:hAnsi="Arial" w:cs="Arial"/>
        </w:rPr>
        <w:t xml:space="preserve">, </w:t>
      </w:r>
      <w:smartTag w:uri="urn:schemas-microsoft-com:office:smarttags" w:element="metricconverter">
        <w:smartTagPr>
          <w:attr w:name="ProductID" w:val="165.545 m2"/>
        </w:smartTagPr>
        <w:r w:rsidRPr="00622504">
          <w:rPr>
            <w:rFonts w:ascii="Arial" w:hAnsi="Arial" w:cs="Arial"/>
          </w:rPr>
          <w:t>165.545 m2</w:t>
        </w:r>
      </w:smartTag>
      <w:r w:rsidRPr="00622504">
        <w:rPr>
          <w:rFonts w:ascii="Arial" w:hAnsi="Arial" w:cs="Arial"/>
        </w:rPr>
        <w:t xml:space="preserve">; Tramos 7, 8 y 9, espesor 5, </w:t>
      </w:r>
      <w:proofErr w:type="spellStart"/>
      <w:r w:rsidRPr="00622504">
        <w:rPr>
          <w:rFonts w:ascii="Arial" w:hAnsi="Arial" w:cs="Arial"/>
        </w:rPr>
        <w:t>cms</w:t>
      </w:r>
      <w:proofErr w:type="spellEnd"/>
      <w:r w:rsidRPr="00622504">
        <w:rPr>
          <w:rFonts w:ascii="Arial" w:hAnsi="Arial" w:cs="Arial"/>
        </w:rPr>
        <w:t xml:space="preserve">, </w:t>
      </w:r>
      <w:smartTag w:uri="urn:schemas-microsoft-com:office:smarttags" w:element="metricconverter">
        <w:smartTagPr>
          <w:attr w:name="ProductID" w:val="265.216 m2"/>
        </w:smartTagPr>
        <w:r w:rsidRPr="00622504">
          <w:rPr>
            <w:rFonts w:ascii="Arial" w:hAnsi="Arial" w:cs="Arial"/>
          </w:rPr>
          <w:t>265.216 m2</w:t>
        </w:r>
      </w:smartTag>
      <w:r w:rsidRPr="00622504">
        <w:rPr>
          <w:rFonts w:ascii="Arial" w:hAnsi="Arial" w:cs="Arial"/>
        </w:rPr>
        <w:t xml:space="preserve">; Tramos 3, 5 espesor </w:t>
      </w:r>
      <w:smartTag w:uri="urn:schemas-microsoft-com:office:smarttags" w:element="metricconverter">
        <w:smartTagPr>
          <w:attr w:name="ProductID" w:val="5 cm"/>
        </w:smartTagPr>
        <w:r w:rsidRPr="00622504">
          <w:rPr>
            <w:rFonts w:ascii="Arial" w:hAnsi="Arial" w:cs="Arial"/>
          </w:rPr>
          <w:t>5 cm</w:t>
        </w:r>
      </w:smartTag>
      <w:r w:rsidRPr="00622504">
        <w:rPr>
          <w:rFonts w:ascii="Arial" w:hAnsi="Arial" w:cs="Arial"/>
        </w:rPr>
        <w:t xml:space="preserve">, </w:t>
      </w:r>
      <w:smartTag w:uri="urn:schemas-microsoft-com:office:smarttags" w:element="metricconverter">
        <w:smartTagPr>
          <w:attr w:name="ProductID" w:val="194.870 m2"/>
        </w:smartTagPr>
        <w:r w:rsidRPr="00622504">
          <w:rPr>
            <w:rFonts w:ascii="Arial" w:hAnsi="Arial" w:cs="Arial"/>
          </w:rPr>
          <w:t>194.870 m2</w:t>
        </w:r>
      </w:smartTag>
      <w:r w:rsidRPr="00622504">
        <w:rPr>
          <w:rFonts w:ascii="Arial" w:hAnsi="Arial" w:cs="Arial"/>
        </w:rPr>
        <w:t xml:space="preserve"> y Tr</w:t>
      </w:r>
      <w:r>
        <w:rPr>
          <w:rFonts w:ascii="Arial" w:hAnsi="Arial" w:cs="Arial"/>
        </w:rPr>
        <w:t xml:space="preserve">amo 11, espesor </w:t>
      </w:r>
      <w:smartTag w:uri="urn:schemas-microsoft-com:office:smarttags" w:element="metricconverter">
        <w:smartTagPr>
          <w:attr w:name="ProductID" w:val="5 cm"/>
        </w:smartTagPr>
        <w:r>
          <w:rPr>
            <w:rFonts w:ascii="Arial" w:hAnsi="Arial" w:cs="Arial"/>
          </w:rPr>
          <w:t>5 cm</w:t>
        </w:r>
      </w:smartTag>
      <w:r>
        <w:rPr>
          <w:rFonts w:ascii="Arial" w:hAnsi="Arial" w:cs="Arial"/>
        </w:rPr>
        <w:t xml:space="preserve">, </w:t>
      </w:r>
      <w:smartTag w:uri="urn:schemas-microsoft-com:office:smarttags" w:element="metricconverter">
        <w:smartTagPr>
          <w:attr w:name="ProductID" w:val="44.280 m2"/>
        </w:smartTagPr>
        <w:r>
          <w:rPr>
            <w:rFonts w:ascii="Arial" w:hAnsi="Arial" w:cs="Arial"/>
          </w:rPr>
          <w:t>44.280 m2</w:t>
        </w:r>
      </w:smartTag>
      <w:r>
        <w:rPr>
          <w:rFonts w:ascii="Arial" w:hAnsi="Arial" w:cs="Arial"/>
        </w:rPr>
        <w:t xml:space="preserve">.; </w:t>
      </w:r>
    </w:p>
    <w:p w:rsidR="0081413B" w:rsidRPr="00CA4E21" w:rsidRDefault="0081413B" w:rsidP="00E251C9">
      <w:pPr>
        <w:spacing w:line="360" w:lineRule="auto"/>
        <w:ind w:firstLine="2694"/>
        <w:jc w:val="both"/>
        <w:rPr>
          <w:rFonts w:ascii="Arial" w:hAnsi="Arial" w:cs="Arial"/>
        </w:rPr>
      </w:pPr>
      <w:r>
        <w:rPr>
          <w:rFonts w:ascii="Arial" w:hAnsi="Arial" w:cs="Arial"/>
          <w:b/>
        </w:rPr>
        <w:t xml:space="preserve">5) </w:t>
      </w:r>
      <w:r w:rsidRPr="00CA4E21">
        <w:rPr>
          <w:rFonts w:ascii="Arial" w:hAnsi="Arial" w:cs="Arial"/>
        </w:rPr>
        <w:t xml:space="preserve">que la Administración actuante expresa que </w:t>
      </w:r>
      <w:r>
        <w:rPr>
          <w:rFonts w:ascii="Arial" w:hAnsi="Arial" w:cs="Arial"/>
        </w:rPr>
        <w:t>e</w:t>
      </w:r>
      <w:r w:rsidRPr="00CA4E21">
        <w:rPr>
          <w:rFonts w:ascii="Arial" w:hAnsi="Arial" w:cs="Arial"/>
        </w:rPr>
        <w:t>l fundamento para este pedido tiene relación con el incremento en los últimos años del volumen de tránsito en el tramo concesionado debido, principalmente, al aumento general de la actividad económica en nuestro país y a la construcción del Anillo Perimetral, Ruta 102, tramo: Ruta – Ruta 8</w:t>
      </w:r>
      <w:r>
        <w:rPr>
          <w:rFonts w:ascii="Arial" w:hAnsi="Arial" w:cs="Arial"/>
        </w:rPr>
        <w:t xml:space="preserve">; </w:t>
      </w:r>
    </w:p>
    <w:p w:rsidR="0081413B" w:rsidRPr="007045F1" w:rsidRDefault="0081413B" w:rsidP="00E251C9">
      <w:pPr>
        <w:spacing w:line="360" w:lineRule="auto"/>
        <w:ind w:firstLine="2694"/>
        <w:jc w:val="both"/>
        <w:rPr>
          <w:rFonts w:ascii="Arial" w:hAnsi="Arial" w:cs="Arial"/>
        </w:rPr>
      </w:pPr>
      <w:r>
        <w:rPr>
          <w:rFonts w:ascii="Arial" w:hAnsi="Arial" w:cs="Arial"/>
          <w:b/>
        </w:rPr>
        <w:t xml:space="preserve">6) </w:t>
      </w:r>
      <w:r w:rsidRPr="00CA4E21">
        <w:rPr>
          <w:rFonts w:ascii="Arial" w:hAnsi="Arial" w:cs="Arial"/>
        </w:rPr>
        <w:t>que</w:t>
      </w:r>
      <w:r>
        <w:rPr>
          <w:rFonts w:ascii="Arial" w:hAnsi="Arial" w:cs="Arial"/>
        </w:rPr>
        <w:t xml:space="preserve"> luce c</w:t>
      </w:r>
      <w:r w:rsidRPr="007045F1">
        <w:rPr>
          <w:rFonts w:ascii="Arial" w:hAnsi="Arial" w:cs="Arial"/>
        </w:rPr>
        <w:t>otización presentada por Hernández y González S.A., de fecha 20 de diciembre 2013, referente al nuevo plan de obras a ejecutarse en el tramo concesionado de Ruta 5, T</w:t>
      </w:r>
      <w:r>
        <w:rPr>
          <w:rFonts w:ascii="Arial" w:hAnsi="Arial" w:cs="Arial"/>
        </w:rPr>
        <w:t xml:space="preserve">ramo: </w:t>
      </w:r>
      <w:r w:rsidR="001355D4">
        <w:rPr>
          <w:rFonts w:ascii="Arial" w:hAnsi="Arial" w:cs="Arial"/>
        </w:rPr>
        <w:t xml:space="preserve">         </w:t>
      </w:r>
      <w:r>
        <w:rPr>
          <w:rFonts w:ascii="Arial" w:hAnsi="Arial" w:cs="Arial"/>
        </w:rPr>
        <w:t xml:space="preserve">Montevideo – Mendoza; </w:t>
      </w:r>
    </w:p>
    <w:p w:rsidR="00535B7A" w:rsidRDefault="0081413B" w:rsidP="00535B7A">
      <w:pPr>
        <w:spacing w:line="360" w:lineRule="auto"/>
        <w:ind w:firstLine="2694"/>
        <w:jc w:val="both"/>
        <w:rPr>
          <w:rFonts w:ascii="Arial" w:hAnsi="Arial" w:cs="Arial"/>
        </w:rPr>
      </w:pPr>
      <w:r>
        <w:rPr>
          <w:rFonts w:ascii="Arial" w:hAnsi="Arial" w:cs="Arial"/>
          <w:b/>
        </w:rPr>
        <w:t xml:space="preserve">7) </w:t>
      </w:r>
      <w:r w:rsidRPr="00CA4E21">
        <w:rPr>
          <w:rFonts w:ascii="Arial" w:hAnsi="Arial" w:cs="Arial"/>
        </w:rPr>
        <w:t>que</w:t>
      </w:r>
      <w:r>
        <w:rPr>
          <w:rFonts w:ascii="Arial" w:hAnsi="Arial" w:cs="Arial"/>
        </w:rPr>
        <w:t xml:space="preserve"> l</w:t>
      </w:r>
      <w:r w:rsidRPr="007045F1">
        <w:rPr>
          <w:rFonts w:ascii="Arial" w:hAnsi="Arial" w:cs="Arial"/>
        </w:rPr>
        <w:t xml:space="preserve">uce </w:t>
      </w:r>
      <w:r w:rsidRPr="007115FF">
        <w:rPr>
          <w:rFonts w:ascii="Arial" w:hAnsi="Arial" w:cs="Arial"/>
        </w:rPr>
        <w:t>Informe Nº 98/2014</w:t>
      </w:r>
      <w:r w:rsidRPr="007045F1">
        <w:rPr>
          <w:rFonts w:ascii="Arial" w:hAnsi="Arial" w:cs="Arial"/>
        </w:rPr>
        <w:t xml:space="preserve">, de la Asesoría Jurídica, de fecha 8 de abril de 2014, del que surgen los siguientes </w:t>
      </w:r>
      <w:r>
        <w:rPr>
          <w:rFonts w:ascii="Arial" w:hAnsi="Arial" w:cs="Arial"/>
        </w:rPr>
        <w:t xml:space="preserve"> fundamentos contractuales para propiciar la ejecución de obras complementarias: </w:t>
      </w:r>
    </w:p>
    <w:p w:rsidR="00851702" w:rsidRDefault="0081413B" w:rsidP="00535B7A">
      <w:pPr>
        <w:spacing w:line="360" w:lineRule="auto"/>
        <w:jc w:val="both"/>
        <w:rPr>
          <w:rFonts w:ascii="Arial" w:hAnsi="Arial" w:cs="Arial"/>
        </w:rPr>
      </w:pPr>
      <w:r w:rsidRPr="00D5795A">
        <w:rPr>
          <w:rFonts w:ascii="Arial" w:hAnsi="Arial" w:cs="Arial"/>
          <w:b/>
        </w:rPr>
        <w:t>7.1)</w:t>
      </w:r>
      <w:r>
        <w:rPr>
          <w:rFonts w:ascii="Arial" w:hAnsi="Arial" w:cs="Arial"/>
        </w:rPr>
        <w:t xml:space="preserve"> </w:t>
      </w:r>
      <w:r w:rsidRPr="00D5795A">
        <w:rPr>
          <w:rFonts w:ascii="Arial" w:hAnsi="Arial" w:cs="Arial"/>
        </w:rPr>
        <w:t xml:space="preserve">31.2 de la Sección 1 del Pliego de Condiciones de la Concesión; 2 del Comunicado 4; 1 párrafo final de la Sección 2 del Pliego de Condiciones de la Concesión, modificado por la Cláusula 1 del Comunicado 4 que establecen: </w:t>
      </w:r>
    </w:p>
    <w:p w:rsidR="00851702" w:rsidRDefault="0081413B" w:rsidP="00535B7A">
      <w:pPr>
        <w:spacing w:line="360" w:lineRule="auto"/>
        <w:jc w:val="both"/>
        <w:rPr>
          <w:rFonts w:ascii="Arial" w:hAnsi="Arial" w:cs="Arial"/>
        </w:rPr>
      </w:pPr>
      <w:r w:rsidRPr="00D5795A">
        <w:rPr>
          <w:rFonts w:ascii="Arial" w:hAnsi="Arial" w:cs="Arial"/>
        </w:rPr>
        <w:t>1</w:t>
      </w:r>
      <w:r w:rsidRPr="00D5795A">
        <w:rPr>
          <w:rFonts w:ascii="Arial" w:hAnsi="Arial" w:cs="Arial"/>
          <w:i/>
        </w:rPr>
        <w:t xml:space="preserve">) </w:t>
      </w:r>
      <w:r w:rsidRPr="00D5795A">
        <w:rPr>
          <w:rFonts w:ascii="Arial" w:hAnsi="Arial" w:cs="Arial"/>
        </w:rPr>
        <w:t xml:space="preserve">“En caso que se superen los límites de capacidad establecidos, la Administración se reserva el derecho de ejecutar las obras complementarias que estime necesarias, según lo dispuesto en el Artículo 31.2 del Capítulo IX de la Sección </w:t>
      </w:r>
      <w:smartTag w:uri="urn:schemas-microsoft-com:office:smarttags" w:element="metricconverter">
        <w:smartTagPr>
          <w:attr w:name="ProductID" w:val="1”"/>
        </w:smartTagPr>
        <w:r w:rsidRPr="00D5795A">
          <w:rPr>
            <w:rFonts w:ascii="Arial" w:hAnsi="Arial" w:cs="Arial"/>
          </w:rPr>
          <w:t>1”</w:t>
        </w:r>
      </w:smartTag>
      <w:r w:rsidRPr="00D5795A">
        <w:rPr>
          <w:rFonts w:ascii="Arial" w:hAnsi="Arial" w:cs="Arial"/>
        </w:rPr>
        <w:t xml:space="preserve">; </w:t>
      </w:r>
    </w:p>
    <w:p w:rsidR="0081413B" w:rsidRDefault="0081413B" w:rsidP="00535B7A">
      <w:pPr>
        <w:spacing w:line="360" w:lineRule="auto"/>
        <w:jc w:val="both"/>
        <w:rPr>
          <w:rFonts w:ascii="Arial" w:hAnsi="Arial" w:cs="Arial"/>
        </w:rPr>
      </w:pPr>
      <w:r w:rsidRPr="00D5795A">
        <w:rPr>
          <w:rFonts w:ascii="Arial" w:hAnsi="Arial" w:cs="Arial"/>
        </w:rPr>
        <w:t xml:space="preserve">2) “El  Concedente se reserva el derecho de exigir al Concesionario la realización de obras complementarias dentro de la zona de la Concesión, no previstas en el presente Pliego. Las mismas darán lugar a pagos al </w:t>
      </w:r>
      <w:r w:rsidRPr="00D5795A">
        <w:rPr>
          <w:rFonts w:ascii="Arial" w:hAnsi="Arial" w:cs="Arial"/>
        </w:rPr>
        <w:lastRenderedPageBreak/>
        <w:t xml:space="preserve">concesionario, según contrato específico a suscribirse oportunamente. Los precios unitarios máximos a regir en ese contrato serán los precios unitarios de obras similares contratadas por </w:t>
      </w:r>
      <w:smartTag w:uri="urn:schemas-microsoft-com:office:smarttags" w:element="PersonName">
        <w:smartTagPr>
          <w:attr w:name="ProductID" w:val="la DNV"/>
        </w:smartTagPr>
        <w:r w:rsidRPr="00D5795A">
          <w:rPr>
            <w:rFonts w:ascii="Arial" w:hAnsi="Arial" w:cs="Arial"/>
          </w:rPr>
          <w:t>la DNV</w:t>
        </w:r>
      </w:smartTag>
      <w:r w:rsidRPr="00D5795A">
        <w:rPr>
          <w:rFonts w:ascii="Arial" w:hAnsi="Arial" w:cs="Arial"/>
        </w:rPr>
        <w:t>, pudiendo el Concedente y el Concesionario acordar precios menores. En caso de no fructificar un acuerdo, la compensación al concesionario por el mantenimiento posterior de las obras adicionales, se gestionará como ampliación del contrato de concesión”.</w:t>
      </w:r>
    </w:p>
    <w:p w:rsidR="0081413B" w:rsidRPr="00D5795A" w:rsidRDefault="0081413B" w:rsidP="00DC2484">
      <w:pPr>
        <w:spacing w:line="360" w:lineRule="auto"/>
        <w:jc w:val="both"/>
        <w:rPr>
          <w:rFonts w:ascii="Arial" w:hAnsi="Arial" w:cs="Arial"/>
        </w:rPr>
      </w:pPr>
      <w:r>
        <w:rPr>
          <w:rFonts w:ascii="Arial" w:hAnsi="Arial" w:cs="Arial"/>
          <w:b/>
        </w:rPr>
        <w:t xml:space="preserve">7.2) </w:t>
      </w:r>
      <w:r w:rsidRPr="00D5795A">
        <w:rPr>
          <w:rFonts w:ascii="Arial" w:hAnsi="Arial" w:cs="Arial"/>
        </w:rPr>
        <w:t xml:space="preserve">56.1 de la Sección del Pliego de Condiciones y decimonovena </w:t>
      </w:r>
      <w:r w:rsidR="00EA24A0">
        <w:rPr>
          <w:rFonts w:ascii="Arial" w:hAnsi="Arial" w:cs="Arial"/>
        </w:rPr>
        <w:t>N</w:t>
      </w:r>
      <w:r w:rsidRPr="00D5795A">
        <w:rPr>
          <w:rFonts w:ascii="Arial" w:hAnsi="Arial" w:cs="Arial"/>
        </w:rPr>
        <w:t>umeral 19.1 del Contrato de Concesión de</w:t>
      </w:r>
      <w:r w:rsidR="00EA24A0">
        <w:rPr>
          <w:rFonts w:ascii="Arial" w:hAnsi="Arial" w:cs="Arial"/>
        </w:rPr>
        <w:t xml:space="preserve"> Obra Pública que estipulan la R</w:t>
      </w:r>
      <w:r w:rsidRPr="00D5795A">
        <w:rPr>
          <w:rFonts w:ascii="Arial" w:hAnsi="Arial" w:cs="Arial"/>
        </w:rPr>
        <w:t>esolución amigable de todas las controversias, aplicable a una multa que s</w:t>
      </w:r>
      <w:r>
        <w:rPr>
          <w:rFonts w:ascii="Arial" w:hAnsi="Arial" w:cs="Arial"/>
        </w:rPr>
        <w:t xml:space="preserve">e tramitó para el Concesionario; </w:t>
      </w:r>
    </w:p>
    <w:p w:rsidR="0081413B" w:rsidRDefault="0081413B" w:rsidP="00DC2484">
      <w:pPr>
        <w:spacing w:line="360" w:lineRule="auto"/>
        <w:ind w:firstLine="2694"/>
        <w:jc w:val="both"/>
        <w:rPr>
          <w:rFonts w:ascii="Arial" w:hAnsi="Arial" w:cs="Arial"/>
          <w:i/>
        </w:rPr>
      </w:pPr>
      <w:r>
        <w:rPr>
          <w:rFonts w:ascii="Arial" w:hAnsi="Arial" w:cs="Arial"/>
          <w:b/>
        </w:rPr>
        <w:t xml:space="preserve">8) </w:t>
      </w:r>
      <w:r w:rsidRPr="00CA4E21">
        <w:rPr>
          <w:rFonts w:ascii="Arial" w:hAnsi="Arial" w:cs="Arial"/>
        </w:rPr>
        <w:t>que</w:t>
      </w:r>
      <w:r>
        <w:rPr>
          <w:rFonts w:ascii="Arial" w:hAnsi="Arial" w:cs="Arial"/>
        </w:rPr>
        <w:t xml:space="preserve"> dicha Administración expresa que la base legal para que el Concedente subsidie la suma de U$S 5:253.759 con IVA y Leyes Sociales, en los trimestres de la Concesión: Nº 59 año 2014, Nº 63 año 2015 y Nº 67 año 2016 de U$S 1:751.253 cada uno, surge de lo establecido en el Artículo 2 del Decreto Ley Nº 15.637 de 28 de setiembre de 1984, que dispone: </w:t>
      </w:r>
      <w:r w:rsidRPr="00C47CF3">
        <w:rPr>
          <w:rFonts w:ascii="Arial" w:hAnsi="Arial" w:cs="Arial"/>
        </w:rPr>
        <w:t>“Mediando razones de interés púbico debidamente fundadas, la Autoridad Concedente podrá subvencionar la concesión de obras públicas. En estos casos, las condiciones de otorgamiento de</w:t>
      </w:r>
      <w:r w:rsidR="00046055">
        <w:rPr>
          <w:rFonts w:ascii="Arial" w:hAnsi="Arial" w:cs="Arial"/>
        </w:rPr>
        <w:t xml:space="preserve"> </w:t>
      </w:r>
      <w:r w:rsidRPr="00C47CF3">
        <w:rPr>
          <w:rFonts w:ascii="Arial" w:hAnsi="Arial" w:cs="Arial"/>
        </w:rPr>
        <w:t>la subvención podrán ser ajustadas cuando la rentabilidad de la concesión resulte superior a la prevista”.</w:t>
      </w:r>
    </w:p>
    <w:p w:rsidR="0081413B" w:rsidRDefault="0081413B" w:rsidP="00DC2484">
      <w:pPr>
        <w:spacing w:line="360" w:lineRule="auto"/>
        <w:ind w:firstLine="2694"/>
        <w:jc w:val="both"/>
        <w:rPr>
          <w:rFonts w:ascii="Arial" w:hAnsi="Arial" w:cs="Arial"/>
        </w:rPr>
      </w:pPr>
      <w:r w:rsidRPr="003D2C4E">
        <w:rPr>
          <w:rFonts w:ascii="Arial" w:hAnsi="Arial" w:cs="Arial"/>
          <w:b/>
        </w:rPr>
        <w:t>9</w:t>
      </w:r>
      <w:r>
        <w:rPr>
          <w:rFonts w:ascii="Arial" w:hAnsi="Arial" w:cs="Arial"/>
          <w:b/>
        </w:rPr>
        <w:t xml:space="preserve">) </w:t>
      </w:r>
      <w:r w:rsidRPr="00CA4E21">
        <w:rPr>
          <w:rFonts w:ascii="Arial" w:hAnsi="Arial" w:cs="Arial"/>
        </w:rPr>
        <w:t>que</w:t>
      </w:r>
      <w:r>
        <w:rPr>
          <w:rFonts w:ascii="Arial" w:hAnsi="Arial" w:cs="Arial"/>
        </w:rPr>
        <w:t xml:space="preserve"> las </w:t>
      </w:r>
      <w:r w:rsidRPr="003D2C4E">
        <w:rPr>
          <w:rFonts w:ascii="Arial" w:hAnsi="Arial" w:cs="Arial"/>
        </w:rPr>
        <w:t>razones de interés púbico</w:t>
      </w:r>
      <w:r>
        <w:rPr>
          <w:rFonts w:ascii="Arial" w:hAnsi="Arial" w:cs="Arial"/>
        </w:rPr>
        <w:t xml:space="preserve"> fueron esgrimidas por dicha Dirección Nacional y consisten en:</w:t>
      </w:r>
    </w:p>
    <w:p w:rsidR="0081413B" w:rsidRPr="003D2C4E" w:rsidRDefault="0081413B" w:rsidP="00DC2484">
      <w:pPr>
        <w:spacing w:line="360" w:lineRule="auto"/>
        <w:jc w:val="both"/>
        <w:rPr>
          <w:rFonts w:ascii="Arial" w:hAnsi="Arial" w:cs="Arial"/>
        </w:rPr>
      </w:pPr>
      <w:r w:rsidRPr="003D2C4E">
        <w:rPr>
          <w:rFonts w:ascii="Arial" w:hAnsi="Arial" w:cs="Arial"/>
          <w:b/>
        </w:rPr>
        <w:t>9.1)</w:t>
      </w:r>
      <w:r>
        <w:rPr>
          <w:rFonts w:ascii="Arial" w:hAnsi="Arial" w:cs="Arial"/>
        </w:rPr>
        <w:t xml:space="preserve"> </w:t>
      </w:r>
      <w:r w:rsidRPr="003D2C4E">
        <w:rPr>
          <w:rFonts w:ascii="Arial" w:hAnsi="Arial" w:cs="Arial"/>
        </w:rPr>
        <w:t xml:space="preserve">El incremento del volumen de tránsito en el tramo concesionado debido, principalmente, al aumento general de la actividad económica en nuestro país y a la construcción del Anillo Perimetral, Ruta 102, tramo: Ruta 5 - Ruta 8. Dicho incremento surge de la  información obtenida del puesto de recaudación del peaje ubicado en el Km 68 de </w:t>
      </w:r>
      <w:smartTag w:uri="urn:schemas-microsoft-com:office:smarttags" w:element="PersonName">
        <w:smartTagPr>
          <w:attr w:name="ProductID" w:val="la Ruta N"/>
        </w:smartTagPr>
        <w:r w:rsidRPr="003D2C4E">
          <w:rPr>
            <w:rFonts w:ascii="Arial" w:hAnsi="Arial" w:cs="Arial"/>
          </w:rPr>
          <w:t>la Ruta N</w:t>
        </w:r>
      </w:smartTag>
      <w:r w:rsidRPr="003D2C4E">
        <w:rPr>
          <w:rFonts w:ascii="Arial" w:hAnsi="Arial" w:cs="Arial"/>
        </w:rPr>
        <w:t xml:space="preserve">º 5, registrado en los contadores de tránsito ubicados en los Accesos a Montevideo, km 5, y Ruta </w:t>
      </w:r>
      <w:smartTag w:uri="urn:schemas-microsoft-com:office:smarttags" w:element="metricconverter">
        <w:smartTagPr>
          <w:attr w:name="ProductID" w:val="5 Km"/>
        </w:smartTagPr>
        <w:r w:rsidRPr="003D2C4E">
          <w:rPr>
            <w:rFonts w:ascii="Arial" w:hAnsi="Arial" w:cs="Arial"/>
          </w:rPr>
          <w:t>5 Km</w:t>
        </w:r>
      </w:smartTag>
      <w:r w:rsidRPr="003D2C4E">
        <w:rPr>
          <w:rFonts w:ascii="Arial" w:hAnsi="Arial" w:cs="Arial"/>
        </w:rPr>
        <w:t xml:space="preserve"> 24, siendo el incremento proporcionalmente mayor en el tramo Sur de </w:t>
      </w:r>
      <w:smartTag w:uri="urn:schemas-microsoft-com:office:smarttags" w:element="PersonName">
        <w:smartTagPr>
          <w:attr w:name="ProductID" w:val="la Concesión"/>
        </w:smartTagPr>
        <w:r w:rsidRPr="003D2C4E">
          <w:rPr>
            <w:rFonts w:ascii="Arial" w:hAnsi="Arial" w:cs="Arial"/>
          </w:rPr>
          <w:t>la Concesión</w:t>
        </w:r>
      </w:smartTag>
      <w:r w:rsidRPr="003D2C4E">
        <w:rPr>
          <w:rFonts w:ascii="Arial" w:hAnsi="Arial" w:cs="Arial"/>
        </w:rPr>
        <w:t>, Montevideo – Progreso que el registrado en la estación de peaje.</w:t>
      </w:r>
    </w:p>
    <w:p w:rsidR="0081413B" w:rsidRPr="003D2C4E" w:rsidRDefault="0081413B" w:rsidP="00DC2484">
      <w:pPr>
        <w:spacing w:line="360" w:lineRule="auto"/>
        <w:jc w:val="both"/>
        <w:rPr>
          <w:rFonts w:ascii="Arial" w:hAnsi="Arial" w:cs="Arial"/>
        </w:rPr>
      </w:pPr>
      <w:r w:rsidRPr="003D2C4E">
        <w:rPr>
          <w:rFonts w:ascii="Arial" w:hAnsi="Arial" w:cs="Arial"/>
          <w:b/>
        </w:rPr>
        <w:lastRenderedPageBreak/>
        <w:t>9.2)</w:t>
      </w:r>
      <w:r>
        <w:rPr>
          <w:rFonts w:ascii="Arial" w:hAnsi="Arial" w:cs="Arial"/>
        </w:rPr>
        <w:t xml:space="preserve"> </w:t>
      </w:r>
      <w:r w:rsidRPr="003D2C4E">
        <w:rPr>
          <w:rFonts w:ascii="Arial" w:hAnsi="Arial" w:cs="Arial"/>
        </w:rPr>
        <w:t>En los últimos 5 años, se han instalado sobre el tramo de Ruta 5, Montevideo – Progreso diferentes emprendimientos industriales particulares, hecho que ha contribuido al incremento señalado.</w:t>
      </w:r>
    </w:p>
    <w:p w:rsidR="0081413B" w:rsidRDefault="0081413B" w:rsidP="00DC2484">
      <w:pPr>
        <w:spacing w:line="360" w:lineRule="auto"/>
        <w:jc w:val="both"/>
        <w:rPr>
          <w:rFonts w:ascii="Arial" w:hAnsi="Arial" w:cs="Arial"/>
        </w:rPr>
      </w:pPr>
      <w:r w:rsidRPr="003D2C4E">
        <w:rPr>
          <w:rFonts w:ascii="Arial" w:hAnsi="Arial" w:cs="Arial"/>
          <w:b/>
        </w:rPr>
        <w:t>9.3)</w:t>
      </w:r>
      <w:r>
        <w:rPr>
          <w:rFonts w:ascii="Arial" w:hAnsi="Arial" w:cs="Arial"/>
        </w:rPr>
        <w:t xml:space="preserve"> </w:t>
      </w:r>
      <w:r w:rsidRPr="003D2C4E">
        <w:rPr>
          <w:rFonts w:ascii="Arial" w:hAnsi="Arial" w:cs="Arial"/>
        </w:rPr>
        <w:t>Los puntos críticos de siniestros registrados de distinta magnitud en los cruces a nivel con los que cuenta el tramo de Ruta 5: Montevideo  - Las Piedras.</w:t>
      </w:r>
      <w:r>
        <w:rPr>
          <w:rFonts w:ascii="Arial" w:hAnsi="Arial" w:cs="Arial"/>
        </w:rPr>
        <w:t xml:space="preserve"> </w:t>
      </w:r>
      <w:r w:rsidRPr="003D2C4E">
        <w:rPr>
          <w:rFonts w:ascii="Arial" w:hAnsi="Arial" w:cs="Arial"/>
        </w:rPr>
        <w:t xml:space="preserve">La aplicación de nuevas tecnologías en la rehabilitación de algunos tramos de la Ruta Nº 5 con </w:t>
      </w:r>
      <w:proofErr w:type="spellStart"/>
      <w:r w:rsidRPr="003D2C4E">
        <w:rPr>
          <w:rFonts w:ascii="Arial" w:hAnsi="Arial" w:cs="Arial"/>
        </w:rPr>
        <w:t>recapados</w:t>
      </w:r>
      <w:proofErr w:type="spellEnd"/>
      <w:r w:rsidRPr="003D2C4E">
        <w:rPr>
          <w:rFonts w:ascii="Arial" w:hAnsi="Arial" w:cs="Arial"/>
        </w:rPr>
        <w:t xml:space="preserve"> de mezclas asfálticas elaboradas con cementos tipo AM3</w:t>
      </w:r>
      <w:r>
        <w:rPr>
          <w:rFonts w:ascii="Arial" w:hAnsi="Arial" w:cs="Arial"/>
        </w:rPr>
        <w:t xml:space="preserve">; </w:t>
      </w:r>
    </w:p>
    <w:p w:rsidR="0081413B" w:rsidRPr="003D2C4E" w:rsidRDefault="0081413B" w:rsidP="00DC2484">
      <w:pPr>
        <w:spacing w:line="360" w:lineRule="auto"/>
        <w:ind w:firstLine="2694"/>
        <w:jc w:val="both"/>
        <w:rPr>
          <w:rFonts w:ascii="Arial" w:hAnsi="Arial" w:cs="Arial"/>
        </w:rPr>
      </w:pPr>
      <w:r w:rsidRPr="003D2C4E">
        <w:rPr>
          <w:rFonts w:ascii="Arial" w:hAnsi="Arial" w:cs="Arial"/>
          <w:b/>
        </w:rPr>
        <w:t xml:space="preserve">10) </w:t>
      </w:r>
      <w:r w:rsidRPr="003D2C4E">
        <w:rPr>
          <w:rFonts w:ascii="Arial" w:hAnsi="Arial" w:cs="Arial"/>
        </w:rPr>
        <w:t>que</w:t>
      </w:r>
      <w:r>
        <w:rPr>
          <w:rFonts w:ascii="Arial" w:hAnsi="Arial" w:cs="Arial"/>
        </w:rPr>
        <w:t xml:space="preserve"> luce </w:t>
      </w:r>
      <w:r w:rsidRPr="003D2C4E">
        <w:rPr>
          <w:rFonts w:ascii="Arial" w:hAnsi="Arial" w:cs="Arial"/>
        </w:rPr>
        <w:t xml:space="preserve">Proyecto de Contrato a suscribirse </w:t>
      </w:r>
      <w:r w:rsidR="00A0512D">
        <w:rPr>
          <w:rFonts w:ascii="Arial" w:hAnsi="Arial" w:cs="Arial"/>
        </w:rPr>
        <w:t xml:space="preserve">        </w:t>
      </w:r>
      <w:r w:rsidRPr="003D2C4E">
        <w:rPr>
          <w:rFonts w:ascii="Arial" w:hAnsi="Arial" w:cs="Arial"/>
        </w:rPr>
        <w:t>Ad Referéndum de la intervención del Tribunal de Cuentas. Del mismo surge la descripción de las obras a realizarse</w:t>
      </w:r>
      <w:r>
        <w:rPr>
          <w:rFonts w:ascii="Arial" w:hAnsi="Arial" w:cs="Arial"/>
        </w:rPr>
        <w:t xml:space="preserve">, mencionadas precedentemente. De dicho Proyecto surge que el Valor Presente de los Ingresos  (VPI) se fija en </w:t>
      </w:r>
      <w:r w:rsidR="00A0512D">
        <w:rPr>
          <w:rFonts w:ascii="Arial" w:hAnsi="Arial" w:cs="Arial"/>
        </w:rPr>
        <w:t xml:space="preserve">          </w:t>
      </w:r>
      <w:r>
        <w:rPr>
          <w:rFonts w:ascii="Arial" w:hAnsi="Arial" w:cs="Arial"/>
        </w:rPr>
        <w:t xml:space="preserve">U$S 23:502.255 sin IVA. </w:t>
      </w:r>
      <w:r w:rsidRPr="003D2C4E">
        <w:rPr>
          <w:rFonts w:ascii="Arial" w:hAnsi="Arial" w:cs="Arial"/>
        </w:rPr>
        <w:t xml:space="preserve">El concedente asumirá el pago de un subsidio de </w:t>
      </w:r>
      <w:r w:rsidR="00A0512D">
        <w:rPr>
          <w:rFonts w:ascii="Arial" w:hAnsi="Arial" w:cs="Arial"/>
        </w:rPr>
        <w:t xml:space="preserve">    </w:t>
      </w:r>
      <w:r w:rsidRPr="003D2C4E">
        <w:rPr>
          <w:rFonts w:ascii="Arial" w:hAnsi="Arial" w:cs="Arial"/>
        </w:rPr>
        <w:t xml:space="preserve">U$S 5:253.759 con IVA y Leyes Sociales incluidos, en los trimestres de la Concesión: Nº 59 año 2014, Nº 63 año 2015 y Nº 67 año 2016 de </w:t>
      </w:r>
      <w:r w:rsidR="00A0512D">
        <w:rPr>
          <w:rFonts w:ascii="Arial" w:hAnsi="Arial" w:cs="Arial"/>
        </w:rPr>
        <w:t xml:space="preserve">                </w:t>
      </w:r>
      <w:r w:rsidRPr="003D2C4E">
        <w:rPr>
          <w:rFonts w:ascii="Arial" w:hAnsi="Arial" w:cs="Arial"/>
        </w:rPr>
        <w:t>U$S 1:751.253 cada uno</w:t>
      </w:r>
      <w:r>
        <w:rPr>
          <w:rFonts w:ascii="Arial" w:hAnsi="Arial" w:cs="Arial"/>
        </w:rPr>
        <w:t xml:space="preserve">; </w:t>
      </w:r>
    </w:p>
    <w:p w:rsidR="0081413B" w:rsidRPr="003D2C4E" w:rsidRDefault="0081413B" w:rsidP="00DC2484">
      <w:pPr>
        <w:spacing w:line="360" w:lineRule="auto"/>
        <w:ind w:firstLine="2694"/>
        <w:jc w:val="both"/>
        <w:rPr>
          <w:rFonts w:ascii="Arial" w:hAnsi="Arial" w:cs="Arial"/>
        </w:rPr>
      </w:pPr>
      <w:r w:rsidRPr="003D2C4E">
        <w:rPr>
          <w:rFonts w:ascii="Arial" w:hAnsi="Arial" w:cs="Arial"/>
          <w:b/>
        </w:rPr>
        <w:t>11)</w:t>
      </w:r>
      <w:r>
        <w:rPr>
          <w:rFonts w:ascii="Arial" w:hAnsi="Arial" w:cs="Arial"/>
        </w:rPr>
        <w:t xml:space="preserve"> </w:t>
      </w:r>
      <w:r w:rsidRPr="003D2C4E">
        <w:rPr>
          <w:rFonts w:ascii="Arial" w:hAnsi="Arial" w:cs="Arial"/>
        </w:rPr>
        <w:t xml:space="preserve">que con fecha 29 de abril de 2014 se confirió vista  del Proyecto de Acuerdo a la </w:t>
      </w:r>
      <w:r>
        <w:rPr>
          <w:rFonts w:ascii="Arial" w:hAnsi="Arial" w:cs="Arial"/>
        </w:rPr>
        <w:t xml:space="preserve">firma Hernández y González S.A.; </w:t>
      </w:r>
    </w:p>
    <w:p w:rsidR="0081413B" w:rsidRPr="00340C01" w:rsidRDefault="0081413B" w:rsidP="00DC2484">
      <w:pPr>
        <w:spacing w:line="360" w:lineRule="auto"/>
        <w:ind w:firstLine="851"/>
        <w:jc w:val="both"/>
        <w:rPr>
          <w:rFonts w:ascii="Arial" w:hAnsi="Arial" w:cs="Arial"/>
        </w:rPr>
      </w:pPr>
      <w:r w:rsidRPr="003D2C4E">
        <w:rPr>
          <w:rFonts w:ascii="Arial" w:hAnsi="Arial" w:cs="Arial"/>
          <w:b/>
        </w:rPr>
        <w:t xml:space="preserve">CONSIDERANDO: 1) </w:t>
      </w:r>
      <w:r w:rsidRPr="00D01002">
        <w:rPr>
          <w:rFonts w:ascii="Arial" w:hAnsi="Arial" w:cs="Arial"/>
        </w:rPr>
        <w:t xml:space="preserve">que la ejecución de obras complementarias se efectúa en el marco </w:t>
      </w:r>
      <w:r>
        <w:rPr>
          <w:rFonts w:ascii="Arial" w:hAnsi="Arial" w:cs="Arial"/>
        </w:rPr>
        <w:t xml:space="preserve">de las previsiones contenidas en el Pliego de Condiciones (Artículo 31.2 y 56.1), así como en el Artículo 2 del Decreto – Ley Nº 15637, el que preceptúa que </w:t>
      </w:r>
      <w:r w:rsidRPr="00340C01">
        <w:rPr>
          <w:rFonts w:ascii="Arial" w:hAnsi="Arial" w:cs="Arial"/>
        </w:rPr>
        <w:t>“Mediando razones de interés público debidamente fundadas, la Autoridad Concedente podrá subvencionar la concesión de obras públicas. En estos casos, las condiciones de otorgamiento de la subvención podrán ser ajustadas cuando la rentabilidad de la concesión resulte superior a la prevista.”</w:t>
      </w:r>
    </w:p>
    <w:p w:rsidR="0081413B" w:rsidRDefault="0081413B" w:rsidP="00DC2484">
      <w:pPr>
        <w:spacing w:line="360" w:lineRule="auto"/>
        <w:ind w:firstLine="2977"/>
        <w:jc w:val="both"/>
        <w:rPr>
          <w:rFonts w:ascii="Arial" w:hAnsi="Arial" w:cs="Arial"/>
        </w:rPr>
      </w:pPr>
      <w:r w:rsidRPr="00340C01">
        <w:rPr>
          <w:rFonts w:ascii="Arial" w:hAnsi="Arial" w:cs="Arial"/>
          <w:b/>
        </w:rPr>
        <w:t>2)</w:t>
      </w:r>
      <w:r>
        <w:rPr>
          <w:rFonts w:ascii="Arial" w:hAnsi="Arial" w:cs="Arial"/>
        </w:rPr>
        <w:t xml:space="preserve"> que surgen acreditadas las razones de interés público esgrimidas por la Administración en Informe Nº 98/2014, de fecha 8 de abril de 2014;  </w:t>
      </w:r>
    </w:p>
    <w:p w:rsidR="0081413B" w:rsidRDefault="0081413B" w:rsidP="00485435">
      <w:pPr>
        <w:pStyle w:val="Prrafodelista"/>
        <w:spacing w:line="360" w:lineRule="auto"/>
        <w:jc w:val="both"/>
        <w:rPr>
          <w:rFonts w:ascii="Arial" w:hAnsi="Arial" w:cs="Arial"/>
        </w:rPr>
      </w:pPr>
    </w:p>
    <w:p w:rsidR="0081413B" w:rsidRPr="00DC2484" w:rsidRDefault="0081413B" w:rsidP="00DC2484">
      <w:pPr>
        <w:spacing w:line="360" w:lineRule="auto"/>
        <w:ind w:firstLine="851"/>
        <w:jc w:val="both"/>
        <w:rPr>
          <w:rFonts w:ascii="Arial" w:hAnsi="Arial" w:cs="Arial"/>
        </w:rPr>
      </w:pPr>
      <w:r w:rsidRPr="00DC2484">
        <w:rPr>
          <w:rFonts w:ascii="Arial" w:hAnsi="Arial" w:cs="Arial"/>
          <w:b/>
        </w:rPr>
        <w:t>ATENTO:</w:t>
      </w:r>
      <w:r w:rsidRPr="00DC2484">
        <w:rPr>
          <w:rFonts w:ascii="Arial" w:hAnsi="Arial" w:cs="Arial"/>
        </w:rPr>
        <w:t xml:space="preserve"> a lo precedentemente expuesto; </w:t>
      </w:r>
    </w:p>
    <w:p w:rsidR="0081413B" w:rsidRDefault="0081413B" w:rsidP="007753CE">
      <w:pPr>
        <w:pStyle w:val="Prrafodelista"/>
        <w:spacing w:line="360" w:lineRule="auto"/>
        <w:jc w:val="center"/>
        <w:rPr>
          <w:rFonts w:ascii="Arial" w:hAnsi="Arial" w:cs="Arial"/>
          <w:b/>
        </w:rPr>
      </w:pPr>
      <w:r>
        <w:rPr>
          <w:rFonts w:ascii="Arial" w:hAnsi="Arial" w:cs="Arial"/>
          <w:b/>
        </w:rPr>
        <w:t>EL TRIBUNAL ACUERDA</w:t>
      </w:r>
    </w:p>
    <w:p w:rsidR="0081413B" w:rsidRDefault="0081413B" w:rsidP="00013C3B">
      <w:pPr>
        <w:spacing w:line="360" w:lineRule="auto"/>
        <w:ind w:left="284" w:hanging="284"/>
        <w:jc w:val="both"/>
        <w:rPr>
          <w:rFonts w:ascii="Arial" w:hAnsi="Arial" w:cs="Arial"/>
        </w:rPr>
      </w:pPr>
      <w:r w:rsidRPr="007753CE">
        <w:rPr>
          <w:rFonts w:ascii="Arial" w:hAnsi="Arial" w:cs="Arial"/>
          <w:b/>
        </w:rPr>
        <w:t>1)</w:t>
      </w:r>
      <w:r>
        <w:rPr>
          <w:rFonts w:ascii="Arial" w:hAnsi="Arial" w:cs="Arial"/>
        </w:rPr>
        <w:t xml:space="preserve"> U</w:t>
      </w:r>
      <w:r w:rsidRPr="004E29F3">
        <w:rPr>
          <w:rFonts w:ascii="Arial" w:hAnsi="Arial" w:cs="Arial"/>
        </w:rPr>
        <w:t xml:space="preserve">na vez suscrito el Convenio y dictada la Resolución por el Ordenador </w:t>
      </w:r>
      <w:r w:rsidR="00013C3B">
        <w:rPr>
          <w:rFonts w:ascii="Arial" w:hAnsi="Arial" w:cs="Arial"/>
        </w:rPr>
        <w:t>c</w:t>
      </w:r>
      <w:r w:rsidRPr="004E29F3">
        <w:rPr>
          <w:rFonts w:ascii="Arial" w:hAnsi="Arial" w:cs="Arial"/>
        </w:rPr>
        <w:t xml:space="preserve">ompetente, </w:t>
      </w:r>
      <w:proofErr w:type="spellStart"/>
      <w:r>
        <w:rPr>
          <w:rFonts w:ascii="Arial" w:hAnsi="Arial" w:cs="Arial"/>
        </w:rPr>
        <w:t>cométese</w:t>
      </w:r>
      <w:proofErr w:type="spellEnd"/>
      <w:r w:rsidRPr="004E29F3">
        <w:rPr>
          <w:rFonts w:ascii="Arial" w:hAnsi="Arial" w:cs="Arial"/>
        </w:rPr>
        <w:t xml:space="preserve"> a</w:t>
      </w:r>
      <w:r w:rsidR="00E9745B">
        <w:rPr>
          <w:rFonts w:ascii="Arial" w:hAnsi="Arial" w:cs="Arial"/>
        </w:rPr>
        <w:t xml:space="preserve"> </w:t>
      </w:r>
      <w:r w:rsidRPr="004E29F3">
        <w:rPr>
          <w:rFonts w:ascii="Arial" w:hAnsi="Arial" w:cs="Arial"/>
        </w:rPr>
        <w:t>l</w:t>
      </w:r>
      <w:r w:rsidR="00E9745B">
        <w:rPr>
          <w:rFonts w:ascii="Arial" w:hAnsi="Arial" w:cs="Arial"/>
        </w:rPr>
        <w:t>a</w:t>
      </w:r>
      <w:r w:rsidRPr="004E29F3">
        <w:rPr>
          <w:rFonts w:ascii="Arial" w:hAnsi="Arial" w:cs="Arial"/>
        </w:rPr>
        <w:t xml:space="preserve"> Contador</w:t>
      </w:r>
      <w:r w:rsidR="00E9745B">
        <w:rPr>
          <w:rFonts w:ascii="Arial" w:hAnsi="Arial" w:cs="Arial"/>
        </w:rPr>
        <w:t>a</w:t>
      </w:r>
      <w:r w:rsidRPr="004E29F3">
        <w:rPr>
          <w:rFonts w:ascii="Arial" w:hAnsi="Arial" w:cs="Arial"/>
        </w:rPr>
        <w:t xml:space="preserve"> </w:t>
      </w:r>
      <w:r>
        <w:rPr>
          <w:rFonts w:ascii="Arial" w:hAnsi="Arial" w:cs="Arial"/>
        </w:rPr>
        <w:t>Auditor</w:t>
      </w:r>
      <w:r w:rsidR="00E9745B">
        <w:rPr>
          <w:rFonts w:ascii="Arial" w:hAnsi="Arial" w:cs="Arial"/>
        </w:rPr>
        <w:t>a</w:t>
      </w:r>
      <w:r>
        <w:rPr>
          <w:rFonts w:ascii="Arial" w:hAnsi="Arial" w:cs="Arial"/>
        </w:rPr>
        <w:t xml:space="preserve"> destacad</w:t>
      </w:r>
      <w:r w:rsidR="00E9745B">
        <w:rPr>
          <w:rFonts w:ascii="Arial" w:hAnsi="Arial" w:cs="Arial"/>
        </w:rPr>
        <w:t>a</w:t>
      </w:r>
      <w:r>
        <w:rPr>
          <w:rFonts w:ascii="Arial" w:hAnsi="Arial" w:cs="Arial"/>
        </w:rPr>
        <w:t xml:space="preserve"> ante el Ministerio de Transporte y Obras Púbicas la intervención de la suma de U$S 5:253.759 con IVA y Leyes Sociales incluidos, a favor de la firma Hernández y González S.A., correspondiente al subsidio para la realización de obras complementarias a llevarse a cabo en el marco de la Concesión de referencia, previo control de su imputación en el grupo adecuad</w:t>
      </w:r>
      <w:r w:rsidR="007B57A3">
        <w:rPr>
          <w:rFonts w:ascii="Arial" w:hAnsi="Arial" w:cs="Arial"/>
        </w:rPr>
        <w:t>o con disponibilidad suficiente;</w:t>
      </w:r>
    </w:p>
    <w:p w:rsidR="0081413B" w:rsidRDefault="0081413B" w:rsidP="00013C3B">
      <w:pPr>
        <w:spacing w:line="360" w:lineRule="auto"/>
        <w:ind w:left="284" w:hanging="284"/>
        <w:jc w:val="both"/>
        <w:rPr>
          <w:rFonts w:ascii="Arial" w:hAnsi="Arial" w:cs="Arial"/>
        </w:rPr>
      </w:pPr>
      <w:r w:rsidRPr="007753CE">
        <w:rPr>
          <w:rFonts w:ascii="Arial" w:hAnsi="Arial" w:cs="Arial"/>
          <w:b/>
        </w:rPr>
        <w:t>2)</w:t>
      </w:r>
      <w:r>
        <w:rPr>
          <w:rFonts w:ascii="Arial" w:hAnsi="Arial" w:cs="Arial"/>
        </w:rPr>
        <w:t xml:space="preserve"> </w:t>
      </w:r>
      <w:proofErr w:type="spellStart"/>
      <w:r>
        <w:rPr>
          <w:rFonts w:ascii="Arial" w:hAnsi="Arial" w:cs="Arial"/>
        </w:rPr>
        <w:t>Cométese</w:t>
      </w:r>
      <w:proofErr w:type="spellEnd"/>
      <w:r>
        <w:rPr>
          <w:rFonts w:ascii="Arial" w:hAnsi="Arial" w:cs="Arial"/>
        </w:rPr>
        <w:t xml:space="preserve"> a</w:t>
      </w:r>
      <w:r w:rsidR="00E9745B">
        <w:rPr>
          <w:rFonts w:ascii="Arial" w:hAnsi="Arial" w:cs="Arial"/>
        </w:rPr>
        <w:t xml:space="preserve"> </w:t>
      </w:r>
      <w:r>
        <w:rPr>
          <w:rFonts w:ascii="Arial" w:hAnsi="Arial" w:cs="Arial"/>
        </w:rPr>
        <w:t>l</w:t>
      </w:r>
      <w:r w:rsidR="00E9745B">
        <w:rPr>
          <w:rFonts w:ascii="Arial" w:hAnsi="Arial" w:cs="Arial"/>
        </w:rPr>
        <w:t>a</w:t>
      </w:r>
      <w:r>
        <w:rPr>
          <w:rFonts w:ascii="Arial" w:hAnsi="Arial" w:cs="Arial"/>
        </w:rPr>
        <w:t xml:space="preserve"> Contador</w:t>
      </w:r>
      <w:r w:rsidR="00E9745B">
        <w:rPr>
          <w:rFonts w:ascii="Arial" w:hAnsi="Arial" w:cs="Arial"/>
        </w:rPr>
        <w:t>a</w:t>
      </w:r>
      <w:r>
        <w:rPr>
          <w:rFonts w:ascii="Arial" w:hAnsi="Arial" w:cs="Arial"/>
        </w:rPr>
        <w:t xml:space="preserve"> Auditor</w:t>
      </w:r>
      <w:r w:rsidR="00E9745B">
        <w:rPr>
          <w:rFonts w:ascii="Arial" w:hAnsi="Arial" w:cs="Arial"/>
        </w:rPr>
        <w:t>a</w:t>
      </w:r>
      <w:r>
        <w:rPr>
          <w:rFonts w:ascii="Arial" w:hAnsi="Arial" w:cs="Arial"/>
        </w:rPr>
        <w:t xml:space="preserve"> </w:t>
      </w:r>
      <w:r w:rsidR="00F86DC4">
        <w:rPr>
          <w:rFonts w:ascii="Arial" w:hAnsi="Arial" w:cs="Arial"/>
        </w:rPr>
        <w:t xml:space="preserve">el control de </w:t>
      </w:r>
      <w:r>
        <w:rPr>
          <w:rFonts w:ascii="Arial" w:hAnsi="Arial" w:cs="Arial"/>
        </w:rPr>
        <w:t>la efectiva versión del Canon acordado con la empresa adjudicataria;</w:t>
      </w:r>
    </w:p>
    <w:p w:rsidR="0081413B" w:rsidRPr="00A24584" w:rsidRDefault="007B57A3" w:rsidP="007B57A3">
      <w:pPr>
        <w:spacing w:line="360" w:lineRule="auto"/>
        <w:ind w:left="284" w:hanging="284"/>
        <w:jc w:val="both"/>
        <w:rPr>
          <w:rFonts w:ascii="Arial" w:hAnsi="Arial" w:cs="Arial"/>
        </w:rPr>
      </w:pPr>
      <w:r>
        <w:rPr>
          <w:rFonts w:ascii="Arial" w:hAnsi="Arial" w:cs="Arial"/>
          <w:b/>
        </w:rPr>
        <w:t xml:space="preserve">3) </w:t>
      </w:r>
      <w:proofErr w:type="spellStart"/>
      <w:r w:rsidR="0081413B" w:rsidRPr="0055525A">
        <w:rPr>
          <w:rFonts w:ascii="Arial" w:hAnsi="Arial" w:cs="Arial"/>
        </w:rPr>
        <w:t>Cométese</w:t>
      </w:r>
      <w:proofErr w:type="spellEnd"/>
      <w:r w:rsidR="0081413B" w:rsidRPr="0055525A">
        <w:rPr>
          <w:rFonts w:ascii="Arial" w:hAnsi="Arial" w:cs="Arial"/>
        </w:rPr>
        <w:t xml:space="preserve"> asimismo a</w:t>
      </w:r>
      <w:r w:rsidR="00E9745B">
        <w:rPr>
          <w:rFonts w:ascii="Arial" w:hAnsi="Arial" w:cs="Arial"/>
        </w:rPr>
        <w:t xml:space="preserve"> </w:t>
      </w:r>
      <w:r w:rsidR="0081413B" w:rsidRPr="0055525A">
        <w:rPr>
          <w:rFonts w:ascii="Arial" w:hAnsi="Arial" w:cs="Arial"/>
        </w:rPr>
        <w:t>l</w:t>
      </w:r>
      <w:r w:rsidR="00E9745B">
        <w:rPr>
          <w:rFonts w:ascii="Arial" w:hAnsi="Arial" w:cs="Arial"/>
        </w:rPr>
        <w:t>a</w:t>
      </w:r>
      <w:r w:rsidR="0081413B">
        <w:rPr>
          <w:rFonts w:ascii="Arial" w:hAnsi="Arial" w:cs="Arial"/>
        </w:rPr>
        <w:t xml:space="preserve"> Contador</w:t>
      </w:r>
      <w:r w:rsidR="00E9745B">
        <w:rPr>
          <w:rFonts w:ascii="Arial" w:hAnsi="Arial" w:cs="Arial"/>
        </w:rPr>
        <w:t>a</w:t>
      </w:r>
      <w:r w:rsidR="0081413B">
        <w:rPr>
          <w:rFonts w:ascii="Arial" w:hAnsi="Arial" w:cs="Arial"/>
        </w:rPr>
        <w:t xml:space="preserve"> Auditor</w:t>
      </w:r>
      <w:r w:rsidR="00E9745B">
        <w:rPr>
          <w:rFonts w:ascii="Arial" w:hAnsi="Arial" w:cs="Arial"/>
        </w:rPr>
        <w:t>a</w:t>
      </w:r>
      <w:r w:rsidR="0081413B" w:rsidRPr="0055525A">
        <w:rPr>
          <w:rFonts w:ascii="Arial" w:hAnsi="Arial" w:cs="Arial"/>
        </w:rPr>
        <w:t>, la verificación que la Resolución Definitiva concuerde con las condiciones de la contratación sometidas a este Tribunal (Art</w:t>
      </w:r>
      <w:r>
        <w:rPr>
          <w:rFonts w:ascii="Arial" w:hAnsi="Arial" w:cs="Arial"/>
        </w:rPr>
        <w:t>ículo</w:t>
      </w:r>
      <w:r w:rsidR="0081413B" w:rsidRPr="0055525A">
        <w:rPr>
          <w:rFonts w:ascii="Arial" w:hAnsi="Arial" w:cs="Arial"/>
        </w:rPr>
        <w:t xml:space="preserve"> 8 de la Ordenanza N° 27 de fecha 22/5/58 en la redacción sustitutiva dispuesta por Resolución s/n del Trib</w:t>
      </w:r>
      <w:r>
        <w:rPr>
          <w:rFonts w:ascii="Arial" w:hAnsi="Arial" w:cs="Arial"/>
        </w:rPr>
        <w:t>unal de Cuentas del 16/6/2010);</w:t>
      </w:r>
    </w:p>
    <w:p w:rsidR="0081413B" w:rsidRDefault="0081413B" w:rsidP="00A24584">
      <w:pPr>
        <w:spacing w:line="360" w:lineRule="auto"/>
        <w:jc w:val="both"/>
        <w:rPr>
          <w:rFonts w:ascii="Arial" w:hAnsi="Arial" w:cs="Arial"/>
          <w:b/>
        </w:rPr>
      </w:pPr>
      <w:r>
        <w:rPr>
          <w:rFonts w:ascii="Arial" w:hAnsi="Arial" w:cs="Arial"/>
          <w:b/>
        </w:rPr>
        <w:t>4</w:t>
      </w:r>
      <w:r w:rsidRPr="00A24584">
        <w:rPr>
          <w:rFonts w:ascii="Arial" w:hAnsi="Arial" w:cs="Arial"/>
          <w:b/>
        </w:rPr>
        <w:t>)</w:t>
      </w:r>
      <w:r w:rsidR="00DC2484">
        <w:rPr>
          <w:rFonts w:ascii="Arial" w:hAnsi="Arial" w:cs="Arial"/>
          <w:b/>
        </w:rPr>
        <w:t xml:space="preserve"> </w:t>
      </w:r>
      <w:r w:rsidRPr="0055525A">
        <w:rPr>
          <w:rFonts w:ascii="Arial" w:hAnsi="Arial" w:cs="Arial"/>
        </w:rPr>
        <w:t>Comuníquese a</w:t>
      </w:r>
      <w:r w:rsidR="00E9745B">
        <w:rPr>
          <w:rFonts w:ascii="Arial" w:hAnsi="Arial" w:cs="Arial"/>
        </w:rPr>
        <w:t xml:space="preserve"> </w:t>
      </w:r>
      <w:r w:rsidRPr="0055525A">
        <w:rPr>
          <w:rFonts w:ascii="Arial" w:hAnsi="Arial" w:cs="Arial"/>
        </w:rPr>
        <w:t>l</w:t>
      </w:r>
      <w:r w:rsidR="00E9745B">
        <w:rPr>
          <w:rFonts w:ascii="Arial" w:hAnsi="Arial" w:cs="Arial"/>
        </w:rPr>
        <w:t>a</w:t>
      </w:r>
      <w:r w:rsidRPr="0055525A">
        <w:rPr>
          <w:rFonts w:ascii="Arial" w:hAnsi="Arial" w:cs="Arial"/>
        </w:rPr>
        <w:t xml:space="preserve"> Contador</w:t>
      </w:r>
      <w:r w:rsidR="00E9745B">
        <w:rPr>
          <w:rFonts w:ascii="Arial" w:hAnsi="Arial" w:cs="Arial"/>
        </w:rPr>
        <w:t>a</w:t>
      </w:r>
      <w:r>
        <w:rPr>
          <w:rFonts w:ascii="Arial" w:hAnsi="Arial" w:cs="Arial"/>
        </w:rPr>
        <w:t xml:space="preserve"> Auditor</w:t>
      </w:r>
      <w:r w:rsidR="00E9745B">
        <w:rPr>
          <w:rFonts w:ascii="Arial" w:hAnsi="Arial" w:cs="Arial"/>
        </w:rPr>
        <w:t>a</w:t>
      </w:r>
      <w:bookmarkStart w:id="0" w:name="_GoBack"/>
      <w:bookmarkEnd w:id="0"/>
      <w:r w:rsidR="00DC2484">
        <w:rPr>
          <w:rFonts w:ascii="Arial" w:hAnsi="Arial" w:cs="Arial"/>
        </w:rPr>
        <w:t>;</w:t>
      </w:r>
    </w:p>
    <w:p w:rsidR="0081413B" w:rsidRPr="0055525A" w:rsidRDefault="0081413B" w:rsidP="00A24584">
      <w:pPr>
        <w:spacing w:line="360" w:lineRule="auto"/>
        <w:jc w:val="both"/>
        <w:rPr>
          <w:rFonts w:ascii="Arial" w:hAnsi="Arial" w:cs="Arial"/>
          <w:b/>
        </w:rPr>
      </w:pPr>
      <w:r>
        <w:rPr>
          <w:rFonts w:ascii="Arial" w:hAnsi="Arial" w:cs="Arial"/>
          <w:b/>
        </w:rPr>
        <w:t>5</w:t>
      </w:r>
      <w:r w:rsidRPr="00A24584">
        <w:rPr>
          <w:rFonts w:ascii="Arial" w:hAnsi="Arial" w:cs="Arial"/>
          <w:b/>
        </w:rPr>
        <w:t>)</w:t>
      </w:r>
      <w:r>
        <w:rPr>
          <w:rFonts w:ascii="Arial" w:hAnsi="Arial" w:cs="Arial"/>
        </w:rPr>
        <w:t xml:space="preserve"> </w:t>
      </w:r>
      <w:r w:rsidRPr="0055525A">
        <w:rPr>
          <w:rFonts w:ascii="Arial" w:hAnsi="Arial" w:cs="Arial"/>
        </w:rPr>
        <w:t>Devuélvase.</w:t>
      </w:r>
    </w:p>
    <w:p w:rsidR="0081413B" w:rsidRDefault="0081413B" w:rsidP="00A24584">
      <w:pPr>
        <w:spacing w:line="360" w:lineRule="auto"/>
        <w:jc w:val="both"/>
        <w:rPr>
          <w:rFonts w:ascii="Arial" w:hAnsi="Arial" w:cs="Arial"/>
        </w:rPr>
      </w:pPr>
    </w:p>
    <w:p w:rsidR="0081413B" w:rsidRDefault="0081413B" w:rsidP="00A24584">
      <w:pPr>
        <w:pStyle w:val="Ttulo"/>
        <w:ind w:left="360" w:firstLine="348"/>
        <w:jc w:val="both"/>
        <w:rPr>
          <w:b w:val="0"/>
          <w:bCs/>
          <w:i/>
          <w:u w:val="none"/>
          <w:lang w:val="es-ES_tradnl"/>
        </w:rPr>
      </w:pPr>
      <w:r>
        <w:rPr>
          <w:b w:val="0"/>
          <w:bCs/>
          <w:i/>
          <w:u w:val="none"/>
          <w:lang w:val="es-ES_tradnl"/>
        </w:rPr>
        <w:t xml:space="preserve">                                          </w:t>
      </w:r>
    </w:p>
    <w:p w:rsidR="0081413B" w:rsidRPr="00DC2484" w:rsidRDefault="00DC2484" w:rsidP="00DC2484">
      <w:pPr>
        <w:pStyle w:val="Ttulo"/>
        <w:jc w:val="both"/>
        <w:rPr>
          <w:b w:val="0"/>
          <w:bCs/>
          <w:u w:val="none"/>
          <w:lang w:val="es-ES_tradnl"/>
        </w:rPr>
      </w:pPr>
      <w:proofErr w:type="spellStart"/>
      <w:proofErr w:type="gramStart"/>
      <w:r>
        <w:rPr>
          <w:b w:val="0"/>
          <w:bCs/>
          <w:u w:val="none"/>
          <w:lang w:val="es-ES_tradnl"/>
        </w:rPr>
        <w:t>ag</w:t>
      </w:r>
      <w:proofErr w:type="spellEnd"/>
      <w:proofErr w:type="gramEnd"/>
    </w:p>
    <w:p w:rsidR="0081413B" w:rsidRPr="00B85BBF" w:rsidRDefault="0081413B" w:rsidP="00485435">
      <w:pPr>
        <w:pStyle w:val="Ttulo"/>
        <w:ind w:left="360" w:firstLine="348"/>
        <w:jc w:val="both"/>
        <w:rPr>
          <w:b w:val="0"/>
          <w:bCs/>
          <w:u w:val="none"/>
          <w:lang w:val="es-ES_tradnl"/>
        </w:rPr>
      </w:pPr>
    </w:p>
    <w:sectPr w:rsidR="0081413B" w:rsidRPr="00B85BBF" w:rsidSect="00F86DC4">
      <w:footerReference w:type="default" r:id="rI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13B" w:rsidRDefault="0081413B" w:rsidP="002009F4">
      <w:r>
        <w:separator/>
      </w:r>
    </w:p>
  </w:endnote>
  <w:endnote w:type="continuationSeparator" w:id="0">
    <w:p w:rsidR="0081413B" w:rsidRDefault="0081413B" w:rsidP="0020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13B" w:rsidRDefault="00E9745B">
    <w:pPr>
      <w:pStyle w:val="Piedepgina"/>
      <w:jc w:val="center"/>
    </w:pPr>
    <w:r>
      <w:fldChar w:fldCharType="begin"/>
    </w:r>
    <w:r>
      <w:instrText>PAGE   \* MERGEFORMAT</w:instrText>
    </w:r>
    <w:r>
      <w:fldChar w:fldCharType="separate"/>
    </w:r>
    <w:r>
      <w:rPr>
        <w:noProof/>
      </w:rPr>
      <w:t>6</w:t>
    </w:r>
    <w:r>
      <w:rPr>
        <w:noProof/>
      </w:rPr>
      <w:fldChar w:fldCharType="end"/>
    </w:r>
  </w:p>
  <w:p w:rsidR="0081413B" w:rsidRDefault="008141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13B" w:rsidRDefault="0081413B" w:rsidP="002009F4">
      <w:r>
        <w:separator/>
      </w:r>
    </w:p>
  </w:footnote>
  <w:footnote w:type="continuationSeparator" w:id="0">
    <w:p w:rsidR="0081413B" w:rsidRDefault="0081413B" w:rsidP="0020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28E3"/>
    <w:multiLevelType w:val="hybridMultilevel"/>
    <w:tmpl w:val="9056C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03C5C87"/>
    <w:multiLevelType w:val="hybridMultilevel"/>
    <w:tmpl w:val="4190C5EC"/>
    <w:lvl w:ilvl="0" w:tplc="58BA59B0">
      <w:start w:val="1"/>
      <w:numFmt w:val="upperRoman"/>
      <w:lvlText w:val="%1)"/>
      <w:lvlJc w:val="left"/>
      <w:pPr>
        <w:ind w:left="1425" w:hanging="720"/>
      </w:pPr>
      <w:rPr>
        <w:rFonts w:cs="Times New Roman" w:hint="default"/>
      </w:rPr>
    </w:lvl>
    <w:lvl w:ilvl="1" w:tplc="0C0A0019" w:tentative="1">
      <w:start w:val="1"/>
      <w:numFmt w:val="lowerLetter"/>
      <w:lvlText w:val="%2."/>
      <w:lvlJc w:val="left"/>
      <w:pPr>
        <w:ind w:left="1785" w:hanging="360"/>
      </w:pPr>
      <w:rPr>
        <w:rFonts w:cs="Times New Roman"/>
      </w:rPr>
    </w:lvl>
    <w:lvl w:ilvl="2" w:tplc="0C0A001B" w:tentative="1">
      <w:start w:val="1"/>
      <w:numFmt w:val="lowerRoman"/>
      <w:lvlText w:val="%3."/>
      <w:lvlJc w:val="right"/>
      <w:pPr>
        <w:ind w:left="2505" w:hanging="180"/>
      </w:pPr>
      <w:rPr>
        <w:rFonts w:cs="Times New Roman"/>
      </w:rPr>
    </w:lvl>
    <w:lvl w:ilvl="3" w:tplc="0C0A000F" w:tentative="1">
      <w:start w:val="1"/>
      <w:numFmt w:val="decimal"/>
      <w:lvlText w:val="%4."/>
      <w:lvlJc w:val="left"/>
      <w:pPr>
        <w:ind w:left="3225" w:hanging="360"/>
      </w:pPr>
      <w:rPr>
        <w:rFonts w:cs="Times New Roman"/>
      </w:rPr>
    </w:lvl>
    <w:lvl w:ilvl="4" w:tplc="0C0A0019" w:tentative="1">
      <w:start w:val="1"/>
      <w:numFmt w:val="lowerLetter"/>
      <w:lvlText w:val="%5."/>
      <w:lvlJc w:val="left"/>
      <w:pPr>
        <w:ind w:left="3945" w:hanging="360"/>
      </w:pPr>
      <w:rPr>
        <w:rFonts w:cs="Times New Roman"/>
      </w:rPr>
    </w:lvl>
    <w:lvl w:ilvl="5" w:tplc="0C0A001B" w:tentative="1">
      <w:start w:val="1"/>
      <w:numFmt w:val="lowerRoman"/>
      <w:lvlText w:val="%6."/>
      <w:lvlJc w:val="right"/>
      <w:pPr>
        <w:ind w:left="4665" w:hanging="180"/>
      </w:pPr>
      <w:rPr>
        <w:rFonts w:cs="Times New Roman"/>
      </w:rPr>
    </w:lvl>
    <w:lvl w:ilvl="6" w:tplc="0C0A000F" w:tentative="1">
      <w:start w:val="1"/>
      <w:numFmt w:val="decimal"/>
      <w:lvlText w:val="%7."/>
      <w:lvlJc w:val="left"/>
      <w:pPr>
        <w:ind w:left="5385" w:hanging="360"/>
      </w:pPr>
      <w:rPr>
        <w:rFonts w:cs="Times New Roman"/>
      </w:rPr>
    </w:lvl>
    <w:lvl w:ilvl="7" w:tplc="0C0A0019" w:tentative="1">
      <w:start w:val="1"/>
      <w:numFmt w:val="lowerLetter"/>
      <w:lvlText w:val="%8."/>
      <w:lvlJc w:val="left"/>
      <w:pPr>
        <w:ind w:left="6105" w:hanging="360"/>
      </w:pPr>
      <w:rPr>
        <w:rFonts w:cs="Times New Roman"/>
      </w:rPr>
    </w:lvl>
    <w:lvl w:ilvl="8" w:tplc="0C0A001B" w:tentative="1">
      <w:start w:val="1"/>
      <w:numFmt w:val="lowerRoman"/>
      <w:lvlText w:val="%9."/>
      <w:lvlJc w:val="right"/>
      <w:pPr>
        <w:ind w:left="6825" w:hanging="180"/>
      </w:pPr>
      <w:rPr>
        <w:rFonts w:cs="Times New Roman"/>
      </w:rPr>
    </w:lvl>
  </w:abstractNum>
  <w:abstractNum w:abstractNumId="2">
    <w:nsid w:val="2D8B699D"/>
    <w:multiLevelType w:val="hybridMultilevel"/>
    <w:tmpl w:val="C1DCCE9A"/>
    <w:lvl w:ilvl="0" w:tplc="F08CD19A">
      <w:start w:val="1"/>
      <w:numFmt w:val="decimal"/>
      <w:lvlText w:val="%1)"/>
      <w:lvlJc w:val="left"/>
      <w:pPr>
        <w:ind w:left="2136" w:hanging="360"/>
      </w:pPr>
      <w:rPr>
        <w:rFonts w:cs="Times New Roman" w:hint="default"/>
      </w:rPr>
    </w:lvl>
    <w:lvl w:ilvl="1" w:tplc="0C0A0019" w:tentative="1">
      <w:start w:val="1"/>
      <w:numFmt w:val="lowerLetter"/>
      <w:lvlText w:val="%2."/>
      <w:lvlJc w:val="left"/>
      <w:pPr>
        <w:ind w:left="2856" w:hanging="360"/>
      </w:pPr>
      <w:rPr>
        <w:rFonts w:cs="Times New Roman"/>
      </w:rPr>
    </w:lvl>
    <w:lvl w:ilvl="2" w:tplc="0C0A001B" w:tentative="1">
      <w:start w:val="1"/>
      <w:numFmt w:val="lowerRoman"/>
      <w:lvlText w:val="%3."/>
      <w:lvlJc w:val="right"/>
      <w:pPr>
        <w:ind w:left="3576" w:hanging="180"/>
      </w:pPr>
      <w:rPr>
        <w:rFonts w:cs="Times New Roman"/>
      </w:rPr>
    </w:lvl>
    <w:lvl w:ilvl="3" w:tplc="0C0A000F" w:tentative="1">
      <w:start w:val="1"/>
      <w:numFmt w:val="decimal"/>
      <w:lvlText w:val="%4."/>
      <w:lvlJc w:val="left"/>
      <w:pPr>
        <w:ind w:left="4296" w:hanging="360"/>
      </w:pPr>
      <w:rPr>
        <w:rFonts w:cs="Times New Roman"/>
      </w:rPr>
    </w:lvl>
    <w:lvl w:ilvl="4" w:tplc="0C0A0019" w:tentative="1">
      <w:start w:val="1"/>
      <w:numFmt w:val="lowerLetter"/>
      <w:lvlText w:val="%5."/>
      <w:lvlJc w:val="left"/>
      <w:pPr>
        <w:ind w:left="5016" w:hanging="360"/>
      </w:pPr>
      <w:rPr>
        <w:rFonts w:cs="Times New Roman"/>
      </w:rPr>
    </w:lvl>
    <w:lvl w:ilvl="5" w:tplc="0C0A001B" w:tentative="1">
      <w:start w:val="1"/>
      <w:numFmt w:val="lowerRoman"/>
      <w:lvlText w:val="%6."/>
      <w:lvlJc w:val="right"/>
      <w:pPr>
        <w:ind w:left="5736" w:hanging="180"/>
      </w:pPr>
      <w:rPr>
        <w:rFonts w:cs="Times New Roman"/>
      </w:rPr>
    </w:lvl>
    <w:lvl w:ilvl="6" w:tplc="0C0A000F" w:tentative="1">
      <w:start w:val="1"/>
      <w:numFmt w:val="decimal"/>
      <w:lvlText w:val="%7."/>
      <w:lvlJc w:val="left"/>
      <w:pPr>
        <w:ind w:left="6456" w:hanging="360"/>
      </w:pPr>
      <w:rPr>
        <w:rFonts w:cs="Times New Roman"/>
      </w:rPr>
    </w:lvl>
    <w:lvl w:ilvl="7" w:tplc="0C0A0019" w:tentative="1">
      <w:start w:val="1"/>
      <w:numFmt w:val="lowerLetter"/>
      <w:lvlText w:val="%8."/>
      <w:lvlJc w:val="left"/>
      <w:pPr>
        <w:ind w:left="7176" w:hanging="360"/>
      </w:pPr>
      <w:rPr>
        <w:rFonts w:cs="Times New Roman"/>
      </w:rPr>
    </w:lvl>
    <w:lvl w:ilvl="8" w:tplc="0C0A001B" w:tentative="1">
      <w:start w:val="1"/>
      <w:numFmt w:val="lowerRoman"/>
      <w:lvlText w:val="%9."/>
      <w:lvlJc w:val="right"/>
      <w:pPr>
        <w:ind w:left="7896" w:hanging="180"/>
      </w:pPr>
      <w:rPr>
        <w:rFonts w:cs="Times New Roman"/>
      </w:rPr>
    </w:lvl>
  </w:abstractNum>
  <w:abstractNum w:abstractNumId="3">
    <w:nsid w:val="459811F7"/>
    <w:multiLevelType w:val="hybridMultilevel"/>
    <w:tmpl w:val="B3FAEA0C"/>
    <w:lvl w:ilvl="0" w:tplc="EC283842">
      <w:start w:val="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5D6B1E57"/>
    <w:multiLevelType w:val="hybridMultilevel"/>
    <w:tmpl w:val="6F267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E8D1169"/>
    <w:multiLevelType w:val="hybridMultilevel"/>
    <w:tmpl w:val="734E1296"/>
    <w:lvl w:ilvl="0" w:tplc="B80C4DF0">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6BE804DE"/>
    <w:multiLevelType w:val="hybridMultilevel"/>
    <w:tmpl w:val="792864FC"/>
    <w:lvl w:ilvl="0" w:tplc="5AB0A500">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nsid w:val="729175A4"/>
    <w:multiLevelType w:val="hybridMultilevel"/>
    <w:tmpl w:val="4404A2C8"/>
    <w:lvl w:ilvl="0" w:tplc="937A1594">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8">
    <w:nsid w:val="7704298E"/>
    <w:multiLevelType w:val="hybridMultilevel"/>
    <w:tmpl w:val="4C9682C2"/>
    <w:lvl w:ilvl="0" w:tplc="515A38B8">
      <w:start w:val="1"/>
      <w:numFmt w:val="lowerLetter"/>
      <w:lvlText w:val="%1)"/>
      <w:lvlJc w:val="left"/>
      <w:pPr>
        <w:ind w:left="1776" w:hanging="360"/>
      </w:pPr>
      <w:rPr>
        <w:rFonts w:cs="Times New Roman" w:hint="default"/>
      </w:rPr>
    </w:lvl>
    <w:lvl w:ilvl="1" w:tplc="0C0A0019" w:tentative="1">
      <w:start w:val="1"/>
      <w:numFmt w:val="lowerLetter"/>
      <w:lvlText w:val="%2."/>
      <w:lvlJc w:val="left"/>
      <w:pPr>
        <w:ind w:left="2496" w:hanging="360"/>
      </w:pPr>
      <w:rPr>
        <w:rFonts w:cs="Times New Roman"/>
      </w:rPr>
    </w:lvl>
    <w:lvl w:ilvl="2" w:tplc="0C0A001B" w:tentative="1">
      <w:start w:val="1"/>
      <w:numFmt w:val="lowerRoman"/>
      <w:lvlText w:val="%3."/>
      <w:lvlJc w:val="right"/>
      <w:pPr>
        <w:ind w:left="3216" w:hanging="180"/>
      </w:pPr>
      <w:rPr>
        <w:rFonts w:cs="Times New Roman"/>
      </w:rPr>
    </w:lvl>
    <w:lvl w:ilvl="3" w:tplc="0C0A000F" w:tentative="1">
      <w:start w:val="1"/>
      <w:numFmt w:val="decimal"/>
      <w:lvlText w:val="%4."/>
      <w:lvlJc w:val="left"/>
      <w:pPr>
        <w:ind w:left="3936" w:hanging="360"/>
      </w:pPr>
      <w:rPr>
        <w:rFonts w:cs="Times New Roman"/>
      </w:rPr>
    </w:lvl>
    <w:lvl w:ilvl="4" w:tplc="0C0A0019" w:tentative="1">
      <w:start w:val="1"/>
      <w:numFmt w:val="lowerLetter"/>
      <w:lvlText w:val="%5."/>
      <w:lvlJc w:val="left"/>
      <w:pPr>
        <w:ind w:left="4656" w:hanging="360"/>
      </w:pPr>
      <w:rPr>
        <w:rFonts w:cs="Times New Roman"/>
      </w:rPr>
    </w:lvl>
    <w:lvl w:ilvl="5" w:tplc="0C0A001B" w:tentative="1">
      <w:start w:val="1"/>
      <w:numFmt w:val="lowerRoman"/>
      <w:lvlText w:val="%6."/>
      <w:lvlJc w:val="right"/>
      <w:pPr>
        <w:ind w:left="5376" w:hanging="180"/>
      </w:pPr>
      <w:rPr>
        <w:rFonts w:cs="Times New Roman"/>
      </w:rPr>
    </w:lvl>
    <w:lvl w:ilvl="6" w:tplc="0C0A000F" w:tentative="1">
      <w:start w:val="1"/>
      <w:numFmt w:val="decimal"/>
      <w:lvlText w:val="%7."/>
      <w:lvlJc w:val="left"/>
      <w:pPr>
        <w:ind w:left="6096" w:hanging="360"/>
      </w:pPr>
      <w:rPr>
        <w:rFonts w:cs="Times New Roman"/>
      </w:rPr>
    </w:lvl>
    <w:lvl w:ilvl="7" w:tplc="0C0A0019" w:tentative="1">
      <w:start w:val="1"/>
      <w:numFmt w:val="lowerLetter"/>
      <w:lvlText w:val="%8."/>
      <w:lvlJc w:val="left"/>
      <w:pPr>
        <w:ind w:left="6816" w:hanging="360"/>
      </w:pPr>
      <w:rPr>
        <w:rFonts w:cs="Times New Roman"/>
      </w:rPr>
    </w:lvl>
    <w:lvl w:ilvl="8" w:tplc="0C0A001B" w:tentative="1">
      <w:start w:val="1"/>
      <w:numFmt w:val="lowerRoman"/>
      <w:lvlText w:val="%9."/>
      <w:lvlJc w:val="right"/>
      <w:pPr>
        <w:ind w:left="7536" w:hanging="180"/>
      </w:pPr>
      <w:rPr>
        <w:rFonts w:cs="Times New Roman"/>
      </w:rPr>
    </w:lvl>
  </w:abstractNum>
  <w:num w:numId="1">
    <w:abstractNumId w:val="1"/>
  </w:num>
  <w:num w:numId="2">
    <w:abstractNumId w:val="5"/>
  </w:num>
  <w:num w:numId="3">
    <w:abstractNumId w:val="4"/>
  </w:num>
  <w:num w:numId="4">
    <w:abstractNumId w:val="0"/>
  </w:num>
  <w:num w:numId="5">
    <w:abstractNumId w:val="3"/>
  </w:num>
  <w:num w:numId="6">
    <w:abstractNumId w:val="8"/>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3D"/>
    <w:rsid w:val="00013C3B"/>
    <w:rsid w:val="000415A9"/>
    <w:rsid w:val="00042530"/>
    <w:rsid w:val="00046055"/>
    <w:rsid w:val="00053248"/>
    <w:rsid w:val="00072271"/>
    <w:rsid w:val="000A7560"/>
    <w:rsid w:val="00125917"/>
    <w:rsid w:val="00127D05"/>
    <w:rsid w:val="00130E76"/>
    <w:rsid w:val="00132F27"/>
    <w:rsid w:val="001355D4"/>
    <w:rsid w:val="00142088"/>
    <w:rsid w:val="001556F4"/>
    <w:rsid w:val="00174905"/>
    <w:rsid w:val="001874A7"/>
    <w:rsid w:val="001B2E32"/>
    <w:rsid w:val="002009F4"/>
    <w:rsid w:val="002555AE"/>
    <w:rsid w:val="0025742A"/>
    <w:rsid w:val="00263581"/>
    <w:rsid w:val="00266D6A"/>
    <w:rsid w:val="00293EBE"/>
    <w:rsid w:val="00294F8A"/>
    <w:rsid w:val="002A5428"/>
    <w:rsid w:val="002B6734"/>
    <w:rsid w:val="002E5195"/>
    <w:rsid w:val="003034E3"/>
    <w:rsid w:val="00340C01"/>
    <w:rsid w:val="00350B3C"/>
    <w:rsid w:val="00382576"/>
    <w:rsid w:val="003A4AA6"/>
    <w:rsid w:val="003B7711"/>
    <w:rsid w:val="003C24B0"/>
    <w:rsid w:val="003C2E26"/>
    <w:rsid w:val="003D27D2"/>
    <w:rsid w:val="003D2C4E"/>
    <w:rsid w:val="003F2A38"/>
    <w:rsid w:val="003F5EF9"/>
    <w:rsid w:val="00445A19"/>
    <w:rsid w:val="00447AC2"/>
    <w:rsid w:val="004520B1"/>
    <w:rsid w:val="0046303C"/>
    <w:rsid w:val="00485435"/>
    <w:rsid w:val="00495C9C"/>
    <w:rsid w:val="004E29F3"/>
    <w:rsid w:val="005161AB"/>
    <w:rsid w:val="00531B3B"/>
    <w:rsid w:val="00535B7A"/>
    <w:rsid w:val="00540DCE"/>
    <w:rsid w:val="0055525A"/>
    <w:rsid w:val="0055687A"/>
    <w:rsid w:val="005634AB"/>
    <w:rsid w:val="00573D23"/>
    <w:rsid w:val="00592F5E"/>
    <w:rsid w:val="005B5838"/>
    <w:rsid w:val="005D6D5B"/>
    <w:rsid w:val="005E3E60"/>
    <w:rsid w:val="00611320"/>
    <w:rsid w:val="00622504"/>
    <w:rsid w:val="006472F0"/>
    <w:rsid w:val="00655BB8"/>
    <w:rsid w:val="00683BD9"/>
    <w:rsid w:val="006C415B"/>
    <w:rsid w:val="006D066C"/>
    <w:rsid w:val="006D7FA6"/>
    <w:rsid w:val="007045F1"/>
    <w:rsid w:val="0070591A"/>
    <w:rsid w:val="007115FF"/>
    <w:rsid w:val="007226D6"/>
    <w:rsid w:val="007227CE"/>
    <w:rsid w:val="00751AA7"/>
    <w:rsid w:val="007575FE"/>
    <w:rsid w:val="00761DC5"/>
    <w:rsid w:val="00762EAC"/>
    <w:rsid w:val="007753CE"/>
    <w:rsid w:val="007B57A3"/>
    <w:rsid w:val="007B5A85"/>
    <w:rsid w:val="007F454E"/>
    <w:rsid w:val="0081413B"/>
    <w:rsid w:val="00841AD4"/>
    <w:rsid w:val="00851702"/>
    <w:rsid w:val="00876F4E"/>
    <w:rsid w:val="008C3963"/>
    <w:rsid w:val="008E2199"/>
    <w:rsid w:val="008E2746"/>
    <w:rsid w:val="00922D51"/>
    <w:rsid w:val="00940570"/>
    <w:rsid w:val="0094787E"/>
    <w:rsid w:val="00962FC1"/>
    <w:rsid w:val="009B5618"/>
    <w:rsid w:val="009D0431"/>
    <w:rsid w:val="00A0512D"/>
    <w:rsid w:val="00A24584"/>
    <w:rsid w:val="00A31B54"/>
    <w:rsid w:val="00A87DEF"/>
    <w:rsid w:val="00A936FA"/>
    <w:rsid w:val="00B04C91"/>
    <w:rsid w:val="00B265B9"/>
    <w:rsid w:val="00B66E02"/>
    <w:rsid w:val="00B85BBF"/>
    <w:rsid w:val="00BC3262"/>
    <w:rsid w:val="00C04D3C"/>
    <w:rsid w:val="00C47CF3"/>
    <w:rsid w:val="00C823A7"/>
    <w:rsid w:val="00CA4E21"/>
    <w:rsid w:val="00CB0044"/>
    <w:rsid w:val="00CB0C7C"/>
    <w:rsid w:val="00CB25D5"/>
    <w:rsid w:val="00CE14A9"/>
    <w:rsid w:val="00CF558A"/>
    <w:rsid w:val="00D01002"/>
    <w:rsid w:val="00D3102F"/>
    <w:rsid w:val="00D31E9A"/>
    <w:rsid w:val="00D5795A"/>
    <w:rsid w:val="00D75401"/>
    <w:rsid w:val="00D761A2"/>
    <w:rsid w:val="00D843F5"/>
    <w:rsid w:val="00D917BE"/>
    <w:rsid w:val="00DC2484"/>
    <w:rsid w:val="00DC33B3"/>
    <w:rsid w:val="00DC666F"/>
    <w:rsid w:val="00DE2830"/>
    <w:rsid w:val="00DF6353"/>
    <w:rsid w:val="00E251C9"/>
    <w:rsid w:val="00E66A4C"/>
    <w:rsid w:val="00E7363D"/>
    <w:rsid w:val="00E86868"/>
    <w:rsid w:val="00E9745B"/>
    <w:rsid w:val="00EA24A0"/>
    <w:rsid w:val="00EB3F6B"/>
    <w:rsid w:val="00EC1A68"/>
    <w:rsid w:val="00EF1465"/>
    <w:rsid w:val="00EF47C9"/>
    <w:rsid w:val="00F00678"/>
    <w:rsid w:val="00F318A1"/>
    <w:rsid w:val="00F337E2"/>
    <w:rsid w:val="00F6265F"/>
    <w:rsid w:val="00F73935"/>
    <w:rsid w:val="00F7740F"/>
    <w:rsid w:val="00F86DC4"/>
    <w:rsid w:val="00F90E74"/>
    <w:rsid w:val="00F91622"/>
    <w:rsid w:val="00FB461D"/>
    <w:rsid w:val="00FC7E28"/>
    <w:rsid w:val="00FD164D"/>
    <w:rsid w:val="00FE20A2"/>
    <w:rsid w:val="00FF6E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195"/>
    <w:rPr>
      <w:rFonts w:ascii="Times New Roman" w:eastAsia="Times New Roman" w:hAnsi="Times New Roman"/>
      <w:sz w:val="24"/>
      <w:szCs w:val="24"/>
    </w:rPr>
  </w:style>
  <w:style w:type="paragraph" w:styleId="Ttulo1">
    <w:name w:val="heading 1"/>
    <w:basedOn w:val="Normal"/>
    <w:next w:val="Normal"/>
    <w:link w:val="Ttulo1Car"/>
    <w:uiPriority w:val="99"/>
    <w:qFormat/>
    <w:rsid w:val="002E5195"/>
    <w:pPr>
      <w:keepNext/>
      <w:outlineLvl w:val="0"/>
    </w:pPr>
    <w:rPr>
      <w:rFonts w:ascii="Bookman Old Style" w:hAnsi="Bookman Old Style"/>
      <w:b/>
      <w:color w:val="000000"/>
      <w:szCs w:val="20"/>
      <w:lang w:val="es-ES_tradnl"/>
    </w:rPr>
  </w:style>
  <w:style w:type="paragraph" w:styleId="Ttulo3">
    <w:name w:val="heading 3"/>
    <w:basedOn w:val="Normal"/>
    <w:next w:val="Normal"/>
    <w:link w:val="Ttulo3Car"/>
    <w:uiPriority w:val="99"/>
    <w:qFormat/>
    <w:rsid w:val="002E5195"/>
    <w:pPr>
      <w:keepNext/>
      <w:jc w:val="right"/>
      <w:outlineLvl w:val="2"/>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E5195"/>
    <w:rPr>
      <w:rFonts w:ascii="Bookman Old Style" w:hAnsi="Bookman Old Style" w:cs="Times New Roman"/>
      <w:b/>
      <w:color w:val="000000"/>
      <w:sz w:val="20"/>
      <w:szCs w:val="20"/>
      <w:lang w:val="es-ES_tradnl" w:eastAsia="es-ES"/>
    </w:rPr>
  </w:style>
  <w:style w:type="character" w:customStyle="1" w:styleId="Ttulo3Car">
    <w:name w:val="Título 3 Car"/>
    <w:basedOn w:val="Fuentedeprrafopredeter"/>
    <w:link w:val="Ttulo3"/>
    <w:uiPriority w:val="99"/>
    <w:locked/>
    <w:rsid w:val="002E5195"/>
    <w:rPr>
      <w:rFonts w:ascii="Arial" w:hAnsi="Arial" w:cs="Times New Roman"/>
      <w:b/>
      <w:sz w:val="24"/>
      <w:szCs w:val="24"/>
      <w:lang w:val="es-ES_tradnl" w:eastAsia="es-ES"/>
    </w:rPr>
  </w:style>
  <w:style w:type="paragraph" w:styleId="Textoindependiente">
    <w:name w:val="Body Text"/>
    <w:basedOn w:val="Normal"/>
    <w:link w:val="TextoindependienteCar"/>
    <w:uiPriority w:val="99"/>
    <w:rsid w:val="002E5195"/>
    <w:pPr>
      <w:spacing w:line="360" w:lineRule="auto"/>
    </w:pPr>
    <w:rPr>
      <w:rFonts w:ascii="Arial" w:hAnsi="Arial"/>
      <w:b/>
      <w:bCs/>
      <w:lang w:val="es-ES_tradnl"/>
    </w:rPr>
  </w:style>
  <w:style w:type="character" w:customStyle="1" w:styleId="TextoindependienteCar">
    <w:name w:val="Texto independiente Car"/>
    <w:basedOn w:val="Fuentedeprrafopredeter"/>
    <w:link w:val="Textoindependiente"/>
    <w:uiPriority w:val="99"/>
    <w:locked/>
    <w:rsid w:val="002E5195"/>
    <w:rPr>
      <w:rFonts w:ascii="Arial" w:hAnsi="Arial" w:cs="Times New Roman"/>
      <w:b/>
      <w:bCs/>
      <w:sz w:val="24"/>
      <w:szCs w:val="24"/>
      <w:lang w:val="es-ES_tradnl" w:eastAsia="es-ES"/>
    </w:rPr>
  </w:style>
  <w:style w:type="paragraph" w:styleId="Prrafodelista">
    <w:name w:val="List Paragraph"/>
    <w:basedOn w:val="Normal"/>
    <w:uiPriority w:val="99"/>
    <w:qFormat/>
    <w:rsid w:val="005634AB"/>
    <w:pPr>
      <w:ind w:left="720"/>
      <w:contextualSpacing/>
    </w:pPr>
  </w:style>
  <w:style w:type="paragraph" w:styleId="Ttulo">
    <w:name w:val="Title"/>
    <w:basedOn w:val="Normal"/>
    <w:link w:val="TtuloCar"/>
    <w:uiPriority w:val="99"/>
    <w:qFormat/>
    <w:rsid w:val="00FE20A2"/>
    <w:pPr>
      <w:spacing w:line="360" w:lineRule="auto"/>
      <w:jc w:val="center"/>
    </w:pPr>
    <w:rPr>
      <w:rFonts w:ascii="Arial" w:hAnsi="Arial"/>
      <w:b/>
      <w:u w:val="single"/>
      <w:lang w:val="es-UY"/>
    </w:rPr>
  </w:style>
  <w:style w:type="character" w:customStyle="1" w:styleId="TtuloCar">
    <w:name w:val="Título Car"/>
    <w:basedOn w:val="Fuentedeprrafopredeter"/>
    <w:link w:val="Ttulo"/>
    <w:uiPriority w:val="99"/>
    <w:locked/>
    <w:rsid w:val="00FE20A2"/>
    <w:rPr>
      <w:rFonts w:ascii="Arial" w:hAnsi="Arial" w:cs="Times New Roman"/>
      <w:b/>
      <w:sz w:val="24"/>
      <w:szCs w:val="24"/>
      <w:u w:val="single"/>
      <w:lang w:val="es-UY" w:eastAsia="es-ES"/>
    </w:rPr>
  </w:style>
  <w:style w:type="paragraph" w:styleId="Encabezado">
    <w:name w:val="header"/>
    <w:basedOn w:val="Normal"/>
    <w:link w:val="EncabezadoCar"/>
    <w:uiPriority w:val="99"/>
    <w:rsid w:val="002009F4"/>
    <w:pPr>
      <w:tabs>
        <w:tab w:val="center" w:pos="4252"/>
        <w:tab w:val="right" w:pos="8504"/>
      </w:tabs>
    </w:pPr>
  </w:style>
  <w:style w:type="character" w:customStyle="1" w:styleId="EncabezadoCar">
    <w:name w:val="Encabezado Car"/>
    <w:basedOn w:val="Fuentedeprrafopredeter"/>
    <w:link w:val="Encabezado"/>
    <w:uiPriority w:val="99"/>
    <w:locked/>
    <w:rsid w:val="002009F4"/>
    <w:rPr>
      <w:rFonts w:ascii="Times New Roman" w:hAnsi="Times New Roman" w:cs="Times New Roman"/>
      <w:sz w:val="24"/>
      <w:szCs w:val="24"/>
      <w:lang w:eastAsia="es-ES"/>
    </w:rPr>
  </w:style>
  <w:style w:type="paragraph" w:styleId="Piedepgina">
    <w:name w:val="footer"/>
    <w:basedOn w:val="Normal"/>
    <w:link w:val="PiedepginaCar"/>
    <w:uiPriority w:val="99"/>
    <w:rsid w:val="002009F4"/>
    <w:pPr>
      <w:tabs>
        <w:tab w:val="center" w:pos="4252"/>
        <w:tab w:val="right" w:pos="8504"/>
      </w:tabs>
    </w:pPr>
  </w:style>
  <w:style w:type="character" w:customStyle="1" w:styleId="PiedepginaCar">
    <w:name w:val="Pie de página Car"/>
    <w:basedOn w:val="Fuentedeprrafopredeter"/>
    <w:link w:val="Piedepgina"/>
    <w:uiPriority w:val="99"/>
    <w:locked/>
    <w:rsid w:val="002009F4"/>
    <w:rPr>
      <w:rFonts w:ascii="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195"/>
    <w:rPr>
      <w:rFonts w:ascii="Times New Roman" w:eastAsia="Times New Roman" w:hAnsi="Times New Roman"/>
      <w:sz w:val="24"/>
      <w:szCs w:val="24"/>
    </w:rPr>
  </w:style>
  <w:style w:type="paragraph" w:styleId="Ttulo1">
    <w:name w:val="heading 1"/>
    <w:basedOn w:val="Normal"/>
    <w:next w:val="Normal"/>
    <w:link w:val="Ttulo1Car"/>
    <w:uiPriority w:val="99"/>
    <w:qFormat/>
    <w:rsid w:val="002E5195"/>
    <w:pPr>
      <w:keepNext/>
      <w:outlineLvl w:val="0"/>
    </w:pPr>
    <w:rPr>
      <w:rFonts w:ascii="Bookman Old Style" w:hAnsi="Bookman Old Style"/>
      <w:b/>
      <w:color w:val="000000"/>
      <w:szCs w:val="20"/>
      <w:lang w:val="es-ES_tradnl"/>
    </w:rPr>
  </w:style>
  <w:style w:type="paragraph" w:styleId="Ttulo3">
    <w:name w:val="heading 3"/>
    <w:basedOn w:val="Normal"/>
    <w:next w:val="Normal"/>
    <w:link w:val="Ttulo3Car"/>
    <w:uiPriority w:val="99"/>
    <w:qFormat/>
    <w:rsid w:val="002E5195"/>
    <w:pPr>
      <w:keepNext/>
      <w:jc w:val="right"/>
      <w:outlineLvl w:val="2"/>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E5195"/>
    <w:rPr>
      <w:rFonts w:ascii="Bookman Old Style" w:hAnsi="Bookman Old Style" w:cs="Times New Roman"/>
      <w:b/>
      <w:color w:val="000000"/>
      <w:sz w:val="20"/>
      <w:szCs w:val="20"/>
      <w:lang w:val="es-ES_tradnl" w:eastAsia="es-ES"/>
    </w:rPr>
  </w:style>
  <w:style w:type="character" w:customStyle="1" w:styleId="Ttulo3Car">
    <w:name w:val="Título 3 Car"/>
    <w:basedOn w:val="Fuentedeprrafopredeter"/>
    <w:link w:val="Ttulo3"/>
    <w:uiPriority w:val="99"/>
    <w:locked/>
    <w:rsid w:val="002E5195"/>
    <w:rPr>
      <w:rFonts w:ascii="Arial" w:hAnsi="Arial" w:cs="Times New Roman"/>
      <w:b/>
      <w:sz w:val="24"/>
      <w:szCs w:val="24"/>
      <w:lang w:val="es-ES_tradnl" w:eastAsia="es-ES"/>
    </w:rPr>
  </w:style>
  <w:style w:type="paragraph" w:styleId="Textoindependiente">
    <w:name w:val="Body Text"/>
    <w:basedOn w:val="Normal"/>
    <w:link w:val="TextoindependienteCar"/>
    <w:uiPriority w:val="99"/>
    <w:rsid w:val="002E5195"/>
    <w:pPr>
      <w:spacing w:line="360" w:lineRule="auto"/>
    </w:pPr>
    <w:rPr>
      <w:rFonts w:ascii="Arial" w:hAnsi="Arial"/>
      <w:b/>
      <w:bCs/>
      <w:lang w:val="es-ES_tradnl"/>
    </w:rPr>
  </w:style>
  <w:style w:type="character" w:customStyle="1" w:styleId="TextoindependienteCar">
    <w:name w:val="Texto independiente Car"/>
    <w:basedOn w:val="Fuentedeprrafopredeter"/>
    <w:link w:val="Textoindependiente"/>
    <w:uiPriority w:val="99"/>
    <w:locked/>
    <w:rsid w:val="002E5195"/>
    <w:rPr>
      <w:rFonts w:ascii="Arial" w:hAnsi="Arial" w:cs="Times New Roman"/>
      <w:b/>
      <w:bCs/>
      <w:sz w:val="24"/>
      <w:szCs w:val="24"/>
      <w:lang w:val="es-ES_tradnl" w:eastAsia="es-ES"/>
    </w:rPr>
  </w:style>
  <w:style w:type="paragraph" w:styleId="Prrafodelista">
    <w:name w:val="List Paragraph"/>
    <w:basedOn w:val="Normal"/>
    <w:uiPriority w:val="99"/>
    <w:qFormat/>
    <w:rsid w:val="005634AB"/>
    <w:pPr>
      <w:ind w:left="720"/>
      <w:contextualSpacing/>
    </w:pPr>
  </w:style>
  <w:style w:type="paragraph" w:styleId="Ttulo">
    <w:name w:val="Title"/>
    <w:basedOn w:val="Normal"/>
    <w:link w:val="TtuloCar"/>
    <w:uiPriority w:val="99"/>
    <w:qFormat/>
    <w:rsid w:val="00FE20A2"/>
    <w:pPr>
      <w:spacing w:line="360" w:lineRule="auto"/>
      <w:jc w:val="center"/>
    </w:pPr>
    <w:rPr>
      <w:rFonts w:ascii="Arial" w:hAnsi="Arial"/>
      <w:b/>
      <w:u w:val="single"/>
      <w:lang w:val="es-UY"/>
    </w:rPr>
  </w:style>
  <w:style w:type="character" w:customStyle="1" w:styleId="TtuloCar">
    <w:name w:val="Título Car"/>
    <w:basedOn w:val="Fuentedeprrafopredeter"/>
    <w:link w:val="Ttulo"/>
    <w:uiPriority w:val="99"/>
    <w:locked/>
    <w:rsid w:val="00FE20A2"/>
    <w:rPr>
      <w:rFonts w:ascii="Arial" w:hAnsi="Arial" w:cs="Times New Roman"/>
      <w:b/>
      <w:sz w:val="24"/>
      <w:szCs w:val="24"/>
      <w:u w:val="single"/>
      <w:lang w:val="es-UY" w:eastAsia="es-ES"/>
    </w:rPr>
  </w:style>
  <w:style w:type="paragraph" w:styleId="Encabezado">
    <w:name w:val="header"/>
    <w:basedOn w:val="Normal"/>
    <w:link w:val="EncabezadoCar"/>
    <w:uiPriority w:val="99"/>
    <w:rsid w:val="002009F4"/>
    <w:pPr>
      <w:tabs>
        <w:tab w:val="center" w:pos="4252"/>
        <w:tab w:val="right" w:pos="8504"/>
      </w:tabs>
    </w:pPr>
  </w:style>
  <w:style w:type="character" w:customStyle="1" w:styleId="EncabezadoCar">
    <w:name w:val="Encabezado Car"/>
    <w:basedOn w:val="Fuentedeprrafopredeter"/>
    <w:link w:val="Encabezado"/>
    <w:uiPriority w:val="99"/>
    <w:locked/>
    <w:rsid w:val="002009F4"/>
    <w:rPr>
      <w:rFonts w:ascii="Times New Roman" w:hAnsi="Times New Roman" w:cs="Times New Roman"/>
      <w:sz w:val="24"/>
      <w:szCs w:val="24"/>
      <w:lang w:eastAsia="es-ES"/>
    </w:rPr>
  </w:style>
  <w:style w:type="paragraph" w:styleId="Piedepgina">
    <w:name w:val="footer"/>
    <w:basedOn w:val="Normal"/>
    <w:link w:val="PiedepginaCar"/>
    <w:uiPriority w:val="99"/>
    <w:rsid w:val="002009F4"/>
    <w:pPr>
      <w:tabs>
        <w:tab w:val="center" w:pos="4252"/>
        <w:tab w:val="right" w:pos="8504"/>
      </w:tabs>
    </w:pPr>
  </w:style>
  <w:style w:type="character" w:customStyle="1" w:styleId="PiedepginaCar">
    <w:name w:val="Pie de página Car"/>
    <w:basedOn w:val="Fuentedeprrafopredeter"/>
    <w:link w:val="Piedepgina"/>
    <w:uiPriority w:val="99"/>
    <w:locked/>
    <w:rsid w:val="002009F4"/>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1698</Words>
  <Characters>8822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CARPETA Nº: 2014-17-1-0004756</vt:lpstr>
    </vt:vector>
  </TitlesOfParts>
  <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2014-17-1-0004756</dc:title>
  <dc:subject/>
  <dc:creator>MARIZA GONZALEZ PADILLA</dc:creator>
  <cp:keywords/>
  <dc:description/>
  <cp:lastModifiedBy>Lenovo User</cp:lastModifiedBy>
  <cp:revision>25</cp:revision>
  <cp:lastPrinted>2014-07-14T16:49:00Z</cp:lastPrinted>
  <dcterms:created xsi:type="dcterms:W3CDTF">2014-07-14T16:13:00Z</dcterms:created>
  <dcterms:modified xsi:type="dcterms:W3CDTF">2014-07-14T16:50:00Z</dcterms:modified>
</cp:coreProperties>
</file>