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AD" w:rsidRPr="00C676AD" w:rsidRDefault="00C676AD" w:rsidP="00C676A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C676AD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C676AD" w:rsidRPr="00C676AD" w:rsidRDefault="00C676AD" w:rsidP="00C676A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676AD" w:rsidRPr="00C676AD" w:rsidRDefault="00C676AD" w:rsidP="00C676A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C676AD">
        <w:rPr>
          <w:rFonts w:ascii="Arial" w:hAnsi="Arial" w:cs="Arial"/>
          <w:b/>
          <w:szCs w:val="24"/>
          <w:lang w:val="es-ES_tradnl"/>
        </w:rPr>
        <w:t>TRIBUNAL DE CUENTAS</w:t>
      </w:r>
    </w:p>
    <w:p w:rsidR="00C676AD" w:rsidRPr="00C676AD" w:rsidRDefault="00C676AD" w:rsidP="00C676A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676AD" w:rsidRPr="00C676AD" w:rsidRDefault="00C676AD" w:rsidP="00C676A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C676AD">
        <w:rPr>
          <w:rFonts w:ascii="Arial" w:hAnsi="Arial" w:cs="Arial"/>
          <w:b/>
          <w:szCs w:val="24"/>
          <w:lang w:val="es-ES_tradnl"/>
        </w:rPr>
        <w:t>EN SESION DE FECHA 18 DE JUNIO DE 2014</w:t>
      </w:r>
    </w:p>
    <w:p w:rsidR="00C676AD" w:rsidRPr="00C676AD" w:rsidRDefault="00C676AD" w:rsidP="00C676A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676AD" w:rsidRPr="00C676AD" w:rsidRDefault="00C676AD" w:rsidP="00C676A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C676AD">
        <w:rPr>
          <w:rFonts w:ascii="Arial" w:hAnsi="Arial" w:cs="Arial"/>
          <w:b/>
          <w:szCs w:val="24"/>
          <w:lang w:val="es-ES_tradnl"/>
        </w:rPr>
        <w:t xml:space="preserve">(E. E. Nº 2014-17-1-0004278, </w:t>
      </w:r>
      <w:proofErr w:type="spellStart"/>
      <w:r w:rsidRPr="00C676AD">
        <w:rPr>
          <w:rFonts w:ascii="Arial" w:hAnsi="Arial" w:cs="Arial"/>
          <w:b/>
          <w:szCs w:val="24"/>
          <w:lang w:val="es-ES_tradnl"/>
        </w:rPr>
        <w:t>Ent</w:t>
      </w:r>
      <w:proofErr w:type="spellEnd"/>
      <w:r w:rsidRPr="00C676AD">
        <w:rPr>
          <w:rFonts w:ascii="Arial" w:hAnsi="Arial" w:cs="Arial"/>
          <w:b/>
          <w:szCs w:val="24"/>
          <w:lang w:val="es-ES_tradnl"/>
        </w:rPr>
        <w:t>. Nº</w:t>
      </w:r>
      <w:r>
        <w:rPr>
          <w:rFonts w:ascii="Arial" w:hAnsi="Arial" w:cs="Arial"/>
          <w:b/>
          <w:szCs w:val="24"/>
          <w:lang w:val="es-ES_tradnl"/>
        </w:rPr>
        <w:t xml:space="preserve"> 3222</w:t>
      </w:r>
      <w:r w:rsidRPr="00C676AD">
        <w:rPr>
          <w:rFonts w:ascii="Arial" w:hAnsi="Arial" w:cs="Arial"/>
          <w:b/>
          <w:szCs w:val="24"/>
          <w:lang w:val="es-ES_tradnl"/>
        </w:rPr>
        <w:t>/14)</w:t>
      </w:r>
    </w:p>
    <w:p w:rsidR="00C676AD" w:rsidRDefault="00C676AD">
      <w:pPr>
        <w:pStyle w:val="Ttulo1"/>
        <w:rPr>
          <w:rFonts w:ascii="Arial" w:hAnsi="Arial" w:cs="Arial"/>
        </w:rPr>
      </w:pPr>
    </w:p>
    <w:p w:rsidR="000609EC" w:rsidRDefault="000609EC" w:rsidP="008B4F1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6823A2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D65093">
        <w:rPr>
          <w:rFonts w:ascii="Arial" w:hAnsi="Arial"/>
        </w:rPr>
        <w:t>2</w:t>
      </w:r>
      <w:r w:rsidR="00C96B86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DC441B">
        <w:rPr>
          <w:rFonts w:ascii="Arial" w:hAnsi="Arial"/>
        </w:rPr>
        <w:t>ma</w:t>
      </w:r>
      <w:r w:rsidR="00C96B86">
        <w:rPr>
          <w:rFonts w:ascii="Arial" w:hAnsi="Arial"/>
        </w:rPr>
        <w:t>y</w:t>
      </w:r>
      <w:r w:rsidR="00A55B15">
        <w:rPr>
          <w:rFonts w:ascii="Arial" w:hAnsi="Arial"/>
        </w:rPr>
        <w:t>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55B15">
        <w:rPr>
          <w:rFonts w:ascii="Arial" w:hAnsi="Arial"/>
        </w:rPr>
        <w:t>B</w:t>
      </w:r>
      <w:r w:rsidR="00C96B86">
        <w:rPr>
          <w:rFonts w:ascii="Arial" w:hAnsi="Arial"/>
        </w:rPr>
        <w:t>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C96B86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C96B86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E62F0C">
        <w:rPr>
          <w:rFonts w:ascii="Arial" w:hAnsi="Arial"/>
        </w:rPr>
        <w:t>febrero</w:t>
      </w:r>
      <w:r w:rsidR="00C96B86">
        <w:rPr>
          <w:rFonts w:ascii="Arial" w:hAnsi="Arial"/>
        </w:rPr>
        <w:t>, marzo y mayo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AF1A4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C96B86">
        <w:rPr>
          <w:rFonts w:ascii="Arial" w:hAnsi="Arial"/>
          <w:lang w:val="es-MX"/>
        </w:rPr>
        <w:t>12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D65093">
        <w:rPr>
          <w:rFonts w:ascii="Arial" w:hAnsi="Arial"/>
          <w:lang w:val="es-MX"/>
        </w:rPr>
        <w:t>febrero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C96B86">
        <w:rPr>
          <w:rFonts w:ascii="Arial" w:hAnsi="Arial"/>
          <w:lang w:val="es-MX"/>
        </w:rPr>
        <w:t>1:169.577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RPr="000314E3" w:rsidTr="000314E3">
        <w:tc>
          <w:tcPr>
            <w:tcW w:w="3359" w:type="pct"/>
          </w:tcPr>
          <w:p w:rsidR="00562B66" w:rsidRPr="000314E3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314E3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44" w:type="pct"/>
          </w:tcPr>
          <w:p w:rsidR="00562B66" w:rsidRPr="000314E3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314E3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97" w:type="pct"/>
          </w:tcPr>
          <w:p w:rsidR="00562B66" w:rsidRPr="000314E3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314E3">
              <w:rPr>
                <w:rFonts w:ascii="Arial" w:hAnsi="Arial"/>
                <w:b/>
                <w:lang w:val="es-MX"/>
              </w:rPr>
              <w:t>Importe</w:t>
            </w:r>
            <w:r w:rsidR="000713E7" w:rsidRPr="000314E3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562B66" w:rsidTr="000314E3">
        <w:tc>
          <w:tcPr>
            <w:tcW w:w="3359" w:type="pct"/>
          </w:tcPr>
          <w:p w:rsidR="00562B66" w:rsidRDefault="00562B66" w:rsidP="00977D9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77D98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rt. </w:t>
            </w:r>
            <w:r w:rsidR="00A55B15">
              <w:rPr>
                <w:rFonts w:ascii="Arial" w:hAnsi="Arial"/>
                <w:lang w:val="es-MX"/>
              </w:rPr>
              <w:t>14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44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97" w:type="pct"/>
          </w:tcPr>
          <w:p w:rsidR="00562B66" w:rsidRDefault="00C96B8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1.716</w:t>
            </w:r>
          </w:p>
        </w:tc>
      </w:tr>
      <w:tr w:rsidR="00562B66" w:rsidTr="000314E3">
        <w:tc>
          <w:tcPr>
            <w:tcW w:w="3359" w:type="pct"/>
          </w:tcPr>
          <w:p w:rsidR="00562B66" w:rsidRDefault="00562B66" w:rsidP="00977D9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77D98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844" w:type="pct"/>
          </w:tcPr>
          <w:p w:rsidR="00562B66" w:rsidRDefault="00C96B8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797" w:type="pct"/>
          </w:tcPr>
          <w:p w:rsidR="00562B66" w:rsidRDefault="00C96B8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1:130.333</w:t>
            </w:r>
          </w:p>
        </w:tc>
      </w:tr>
      <w:tr w:rsidR="00A55B15" w:rsidTr="000314E3">
        <w:tc>
          <w:tcPr>
            <w:tcW w:w="3359" w:type="pct"/>
          </w:tcPr>
          <w:p w:rsidR="00A55B15" w:rsidRDefault="00A55B15" w:rsidP="00977D9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77D98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844" w:type="pct"/>
          </w:tcPr>
          <w:p w:rsidR="00A55B15" w:rsidRDefault="00C96B8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97" w:type="pct"/>
          </w:tcPr>
          <w:p w:rsidR="00A55B15" w:rsidRDefault="00C96B86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37.528</w:t>
            </w:r>
          </w:p>
        </w:tc>
      </w:tr>
      <w:tr w:rsidR="00562B66" w:rsidRPr="000314E3" w:rsidTr="000314E3">
        <w:tc>
          <w:tcPr>
            <w:tcW w:w="3359" w:type="pct"/>
          </w:tcPr>
          <w:p w:rsidR="00562B66" w:rsidRPr="000314E3" w:rsidRDefault="00562B6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0314E3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44" w:type="pct"/>
          </w:tcPr>
          <w:p w:rsidR="00562B66" w:rsidRPr="000314E3" w:rsidRDefault="00C96B86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314E3">
              <w:rPr>
                <w:rFonts w:ascii="Arial" w:hAnsi="Arial"/>
                <w:b/>
                <w:lang w:val="es-MX"/>
              </w:rPr>
              <w:t>12</w:t>
            </w:r>
          </w:p>
        </w:tc>
        <w:tc>
          <w:tcPr>
            <w:tcW w:w="797" w:type="pct"/>
          </w:tcPr>
          <w:p w:rsidR="00562B66" w:rsidRPr="000314E3" w:rsidRDefault="00C96B86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314E3">
              <w:rPr>
                <w:rFonts w:ascii="Arial" w:hAnsi="Arial"/>
                <w:b/>
                <w:lang w:val="es-MX"/>
              </w:rPr>
              <w:t>1:169.577</w:t>
            </w:r>
          </w:p>
        </w:tc>
      </w:tr>
    </w:tbl>
    <w:p w:rsidR="000609EC" w:rsidRDefault="000609EC" w:rsidP="000314E3">
      <w:pPr>
        <w:spacing w:after="120"/>
        <w:ind w:firstLine="2835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reiteraci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, lo hizo en forma fundada;</w:t>
      </w:r>
    </w:p>
    <w:p w:rsidR="000609EC" w:rsidRPr="000314E3" w:rsidRDefault="000609EC" w:rsidP="00AF1A4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AF1A4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AF1A4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</w:t>
      </w:r>
      <w:r w:rsidR="00AF1A4D">
        <w:rPr>
          <w:rFonts w:ascii="Arial" w:hAnsi="Arial"/>
          <w:lang w:val="es-MX"/>
        </w:rPr>
        <w:t>o reiteración que les acuerda el L</w:t>
      </w:r>
      <w:r>
        <w:rPr>
          <w:rFonts w:ascii="Arial" w:hAnsi="Arial"/>
          <w:lang w:val="es-MX"/>
        </w:rPr>
        <w:t>it</w:t>
      </w:r>
      <w:r w:rsidR="00AF1A4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</w:t>
      </w:r>
      <w:r w:rsidR="000314E3">
        <w:rPr>
          <w:rFonts w:ascii="Arial" w:hAnsi="Arial"/>
          <w:lang w:val="es-MX"/>
        </w:rPr>
        <w:t xml:space="preserve"> </w:t>
      </w:r>
      <w:r w:rsidR="00AF1A4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</w:t>
      </w:r>
      <w:r>
        <w:rPr>
          <w:rFonts w:ascii="Arial" w:hAnsi="Arial"/>
          <w:lang w:val="es-MX"/>
        </w:rPr>
        <w:lastRenderedPageBreak/>
        <w:t>fundada, expresando de manera detallada los motivos que justifican a su juicio seguir el curso del gasto o pago</w:t>
      </w:r>
      <w:r w:rsidR="000314E3">
        <w:rPr>
          <w:rFonts w:ascii="Arial" w:hAnsi="Arial"/>
          <w:spacing w:val="-3"/>
          <w:lang w:val="es-ES_tradnl"/>
        </w:rPr>
        <w:t>;</w:t>
      </w:r>
    </w:p>
    <w:p w:rsidR="000609EC" w:rsidRDefault="000609EC" w:rsidP="00C766A9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BE03D9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C766A9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766A9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766A9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C766A9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A55B15">
        <w:rPr>
          <w:rFonts w:ascii="Arial" w:hAnsi="Arial"/>
          <w:lang w:val="es-MX"/>
        </w:rPr>
        <w:t>B</w:t>
      </w:r>
      <w:r w:rsidR="00932524">
        <w:rPr>
          <w:rFonts w:ascii="Arial" w:hAnsi="Arial"/>
          <w:lang w:val="es-MX"/>
        </w:rPr>
        <w:t>ella Unión</w:t>
      </w:r>
      <w:r>
        <w:rPr>
          <w:rFonts w:ascii="Arial" w:hAnsi="Arial"/>
          <w:lang w:val="es-MX"/>
        </w:rPr>
        <w:t xml:space="preserve"> y al Contador Delegado.</w:t>
      </w:r>
    </w:p>
    <w:p w:rsidR="00C766A9" w:rsidRDefault="00C766A9" w:rsidP="00C766A9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C766A9" w:rsidSect="00BC3ED1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D1" w:rsidRDefault="00BC3ED1">
      <w:r>
        <w:separator/>
      </w:r>
    </w:p>
  </w:endnote>
  <w:endnote w:type="continuationSeparator" w:id="0">
    <w:p w:rsidR="00BC3ED1" w:rsidRDefault="00BC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D1" w:rsidRDefault="00BC3ED1">
      <w:r>
        <w:separator/>
      </w:r>
    </w:p>
  </w:footnote>
  <w:footnote w:type="continuationSeparator" w:id="0">
    <w:p w:rsidR="00BC3ED1" w:rsidRDefault="00BC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314E3"/>
    <w:rsid w:val="000609EC"/>
    <w:rsid w:val="000713E7"/>
    <w:rsid w:val="000B60C3"/>
    <w:rsid w:val="000C7884"/>
    <w:rsid w:val="000D702B"/>
    <w:rsid w:val="00127D1E"/>
    <w:rsid w:val="001C2710"/>
    <w:rsid w:val="00216AA0"/>
    <w:rsid w:val="00251B9F"/>
    <w:rsid w:val="00251E66"/>
    <w:rsid w:val="002D6D90"/>
    <w:rsid w:val="002E5685"/>
    <w:rsid w:val="00380253"/>
    <w:rsid w:val="005522E3"/>
    <w:rsid w:val="00562B66"/>
    <w:rsid w:val="006823A2"/>
    <w:rsid w:val="006D4B91"/>
    <w:rsid w:val="006F33B2"/>
    <w:rsid w:val="00730354"/>
    <w:rsid w:val="00787E65"/>
    <w:rsid w:val="007C78DC"/>
    <w:rsid w:val="008B4F17"/>
    <w:rsid w:val="00932524"/>
    <w:rsid w:val="00977D98"/>
    <w:rsid w:val="00A333E1"/>
    <w:rsid w:val="00A55B15"/>
    <w:rsid w:val="00AE67E0"/>
    <w:rsid w:val="00AF1A4D"/>
    <w:rsid w:val="00BB4EDD"/>
    <w:rsid w:val="00BC3ED1"/>
    <w:rsid w:val="00BC71D5"/>
    <w:rsid w:val="00BE03D9"/>
    <w:rsid w:val="00C06DFB"/>
    <w:rsid w:val="00C676AD"/>
    <w:rsid w:val="00C766A9"/>
    <w:rsid w:val="00C96B86"/>
    <w:rsid w:val="00D65093"/>
    <w:rsid w:val="00D66F6E"/>
    <w:rsid w:val="00DC441B"/>
    <w:rsid w:val="00E62F0C"/>
    <w:rsid w:val="00E75254"/>
    <w:rsid w:val="00EE0A01"/>
    <w:rsid w:val="00EE1016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16</cp:revision>
  <cp:lastPrinted>2014-06-25T19:39:00Z</cp:lastPrinted>
  <dcterms:created xsi:type="dcterms:W3CDTF">2014-06-25T19:32:00Z</dcterms:created>
  <dcterms:modified xsi:type="dcterms:W3CDTF">2014-07-23T19:42:00Z</dcterms:modified>
</cp:coreProperties>
</file>