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6E" w:rsidRDefault="00FC1C6E">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FC1C6E" w:rsidRDefault="00FC1C6E">
      <w:pPr>
        <w:tabs>
          <w:tab w:val="left" w:pos="-720"/>
        </w:tabs>
        <w:suppressAutoHyphens/>
        <w:jc w:val="center"/>
        <w:rPr>
          <w:rFonts w:ascii="Helvetica" w:hAnsi="Helvetica"/>
          <w:b/>
          <w:lang w:val="es-ES_tradnl"/>
        </w:rPr>
      </w:pPr>
    </w:p>
    <w:p w:rsidR="00FC1C6E" w:rsidRDefault="00FC1C6E">
      <w:pPr>
        <w:tabs>
          <w:tab w:val="center" w:pos="4253"/>
        </w:tabs>
        <w:suppressAutoHyphens/>
        <w:jc w:val="center"/>
        <w:rPr>
          <w:rFonts w:ascii="Helvetica" w:hAnsi="Helvetica"/>
          <w:b/>
          <w:lang w:val="es-ES_tradnl"/>
        </w:rPr>
      </w:pPr>
      <w:r>
        <w:rPr>
          <w:rFonts w:ascii="Helvetica" w:hAnsi="Helvetica"/>
          <w:b/>
          <w:lang w:val="es-ES_tradnl"/>
        </w:rPr>
        <w:t>TRIBUNAL DE CUENTAS</w:t>
      </w:r>
    </w:p>
    <w:p w:rsidR="00FC1C6E" w:rsidRDefault="00FC1C6E">
      <w:pPr>
        <w:tabs>
          <w:tab w:val="left" w:pos="-720"/>
        </w:tabs>
        <w:suppressAutoHyphens/>
        <w:jc w:val="center"/>
        <w:rPr>
          <w:rFonts w:ascii="Helvetica" w:hAnsi="Helvetica"/>
          <w:b/>
          <w:lang w:val="es-ES_tradnl"/>
        </w:rPr>
      </w:pPr>
    </w:p>
    <w:p w:rsidR="00FC1C6E" w:rsidRDefault="00FC1C6E">
      <w:pPr>
        <w:tabs>
          <w:tab w:val="center" w:pos="4253"/>
        </w:tabs>
        <w:suppressAutoHyphens/>
        <w:jc w:val="center"/>
        <w:rPr>
          <w:rFonts w:ascii="Helvetica" w:hAnsi="Helvetica"/>
          <w:b/>
          <w:lang w:val="es-ES_tradnl"/>
        </w:rPr>
      </w:pPr>
      <w:r>
        <w:rPr>
          <w:rFonts w:ascii="Helvetica" w:hAnsi="Helvetica"/>
          <w:b/>
          <w:lang w:val="es-ES_tradnl"/>
        </w:rPr>
        <w:t>EN SESION DE FECHA 18 DE JUNIO DE 2014</w:t>
      </w:r>
    </w:p>
    <w:p w:rsidR="00FC1C6E" w:rsidRDefault="00FC1C6E">
      <w:pPr>
        <w:tabs>
          <w:tab w:val="center" w:pos="4253"/>
        </w:tabs>
        <w:suppressAutoHyphens/>
        <w:jc w:val="center"/>
        <w:rPr>
          <w:rFonts w:ascii="Helvetica" w:hAnsi="Helvetica"/>
          <w:b/>
          <w:lang w:val="es-ES_tradnl"/>
        </w:rPr>
      </w:pPr>
    </w:p>
    <w:p w:rsidR="00FC1C6E" w:rsidRPr="000C35A7" w:rsidRDefault="00FC1C6E">
      <w:pPr>
        <w:tabs>
          <w:tab w:val="center" w:pos="4253"/>
        </w:tabs>
        <w:suppressAutoHyphens/>
        <w:jc w:val="center"/>
        <w:rPr>
          <w:rFonts w:ascii="Helvetica" w:hAnsi="Helvetica"/>
          <w:b/>
          <w:lang w:val="es-UY"/>
        </w:rPr>
      </w:pPr>
      <w:r w:rsidRPr="000C35A7">
        <w:rPr>
          <w:rFonts w:ascii="Helvetica" w:hAnsi="Helvetica"/>
          <w:b/>
          <w:lang w:val="es-UY"/>
        </w:rPr>
        <w:t xml:space="preserve">(E. E. Nº 2014-17-1-0002445, </w:t>
      </w:r>
      <w:proofErr w:type="spellStart"/>
      <w:r w:rsidRPr="000C35A7">
        <w:rPr>
          <w:rFonts w:ascii="Helvetica" w:hAnsi="Helvetica"/>
          <w:b/>
          <w:lang w:val="es-UY"/>
        </w:rPr>
        <w:t>Ent</w:t>
      </w:r>
      <w:proofErr w:type="spellEnd"/>
      <w:r w:rsidRPr="000C35A7">
        <w:rPr>
          <w:rFonts w:ascii="Helvetica" w:hAnsi="Helvetica"/>
          <w:b/>
          <w:lang w:val="es-UY"/>
        </w:rPr>
        <w:t xml:space="preserve">. N° </w:t>
      </w:r>
      <w:r w:rsidR="00206A76" w:rsidRPr="000C35A7">
        <w:rPr>
          <w:rFonts w:ascii="Helvetica" w:hAnsi="Helvetica"/>
          <w:b/>
          <w:lang w:val="es-UY"/>
        </w:rPr>
        <w:t>1794/14</w:t>
      </w:r>
      <w:r w:rsidRPr="000C35A7">
        <w:rPr>
          <w:rFonts w:ascii="Helvetica" w:hAnsi="Helvetica"/>
          <w:b/>
          <w:lang w:val="es-UY"/>
        </w:rPr>
        <w:t>)</w:t>
      </w:r>
    </w:p>
    <w:p w:rsidR="00FC1C6E" w:rsidRPr="000C35A7" w:rsidRDefault="00FC1C6E">
      <w:pPr>
        <w:rPr>
          <w:lang w:val="es-UY"/>
        </w:rPr>
      </w:pPr>
    </w:p>
    <w:p w:rsidR="00FC1C6E" w:rsidRPr="000C35A7" w:rsidRDefault="00FC1C6E">
      <w:pPr>
        <w:rPr>
          <w:lang w:val="es-UY"/>
        </w:rPr>
      </w:pPr>
    </w:p>
    <w:p w:rsidR="00FC1C6E" w:rsidRDefault="00FC1C6E" w:rsidP="00206A76">
      <w:pPr>
        <w:widowControl w:val="0"/>
        <w:tabs>
          <w:tab w:val="left" w:pos="-720"/>
        </w:tabs>
        <w:suppressAutoHyphens/>
        <w:snapToGrid w:val="0"/>
        <w:spacing w:line="360" w:lineRule="auto"/>
        <w:ind w:firstLine="851"/>
        <w:jc w:val="both"/>
        <w:rPr>
          <w:rFonts w:cs="Arial"/>
          <w:spacing w:val="-3"/>
          <w:lang w:val="es-ES_tradnl"/>
        </w:rPr>
      </w:pPr>
      <w:r>
        <w:rPr>
          <w:rFonts w:cs="Arial"/>
          <w:b/>
          <w:lang w:val="es-MX"/>
        </w:rPr>
        <w:t>VISTO:</w:t>
      </w:r>
      <w:r>
        <w:rPr>
          <w:rFonts w:cs="Arial"/>
          <w:lang w:val="es-MX"/>
        </w:rPr>
        <w:t xml:space="preserve"> que este Tribunal ha examinado los estados financieros </w:t>
      </w:r>
      <w:r>
        <w:rPr>
          <w:rFonts w:cs="Arial"/>
          <w:spacing w:val="-3"/>
          <w:lang w:val="es-ES_tradnl"/>
        </w:rPr>
        <w:t xml:space="preserve">del Fondo de Garantía de Depósitos Bancarios (FGDB) que comprenden el Estado de Situación Patrimonial al 31 de diciembre de 2013, los correspondientes Estados de Resultados, de Origen y Aplicación de Fondos y de Evolución del Patrimonio por el </w:t>
      </w:r>
      <w:r>
        <w:rPr>
          <w:rFonts w:cs="Arial"/>
        </w:rPr>
        <w:t xml:space="preserve">ejercicio anual finalizado en esa fecha, los Anexos y las </w:t>
      </w:r>
      <w:r>
        <w:rPr>
          <w:rFonts w:cs="Arial"/>
          <w:spacing w:val="-3"/>
          <w:lang w:val="es-ES_tradnl"/>
        </w:rPr>
        <w:t>Notas de políticas contables significativas y otras notas explicativas a los estados financieros;</w:t>
      </w:r>
    </w:p>
    <w:p w:rsidR="00FC1C6E" w:rsidRDefault="00FC1C6E" w:rsidP="00206A76">
      <w:pPr>
        <w:spacing w:line="360" w:lineRule="auto"/>
        <w:ind w:firstLine="851"/>
        <w:jc w:val="both"/>
        <w:rPr>
          <w:rFonts w:cs="Arial"/>
          <w:lang w:val="es-MX"/>
        </w:rPr>
      </w:pPr>
      <w:r>
        <w:rPr>
          <w:rFonts w:cs="Arial"/>
          <w:b/>
          <w:lang w:val="es-MX"/>
        </w:rPr>
        <w:t>RESULTANDO:</w:t>
      </w:r>
      <w:r>
        <w:rPr>
          <w:rFonts w:cs="Arial"/>
          <w:lang w:val="es-MX"/>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FC1C6E" w:rsidRDefault="00FC1C6E" w:rsidP="00206A76">
      <w:pPr>
        <w:widowControl w:val="0"/>
        <w:snapToGrid w:val="0"/>
        <w:spacing w:line="360" w:lineRule="auto"/>
        <w:ind w:firstLine="851"/>
        <w:jc w:val="both"/>
        <w:rPr>
          <w:rFonts w:cs="Arial"/>
          <w:lang w:val="es-MX"/>
        </w:rPr>
      </w:pPr>
      <w:r>
        <w:rPr>
          <w:rFonts w:cs="Arial"/>
          <w:b/>
          <w:lang w:val="es-MX"/>
        </w:rPr>
        <w:t>CONSIDERANDO:</w:t>
      </w:r>
      <w:r>
        <w:rPr>
          <w:rFonts w:cs="Arial"/>
          <w:lang w:val="es-MX"/>
        </w:rPr>
        <w:t xml:space="preserve"> que las conclusiones y evidencias obtenidas son las que se expresan en el Informe de Auditoría, que incluye Dictamen e Informe a la Administración;</w:t>
      </w:r>
    </w:p>
    <w:p w:rsidR="00FC1C6E" w:rsidRDefault="00FC1C6E" w:rsidP="00CD59E7">
      <w:pPr>
        <w:pStyle w:val="Textoindependiente"/>
        <w:spacing w:line="360" w:lineRule="auto"/>
        <w:ind w:firstLine="851"/>
      </w:pPr>
      <w:r>
        <w:rPr>
          <w:b/>
          <w:bCs/>
        </w:rPr>
        <w:t>ATENTO:</w:t>
      </w:r>
      <w:r>
        <w:t xml:space="preserve"> a lo dispuesto por los Artículos 191 y 211 Literales C) y E) de la Constitución de la República y a lo establecido por los Artículos 12 y 13 del Decreto Nº</w:t>
      </w:r>
      <w:r w:rsidR="000C35A7">
        <w:t xml:space="preserve"> 103/005 de 7 de marzo de 2005;</w:t>
      </w:r>
    </w:p>
    <w:p w:rsidR="00FC1C6E" w:rsidRDefault="00FC1C6E" w:rsidP="00FC1C6E">
      <w:pPr>
        <w:pStyle w:val="Ttulo1"/>
        <w:widowControl w:val="0"/>
        <w:snapToGrid w:val="0"/>
      </w:pPr>
      <w:r>
        <w:t>EL TRIBUNAL ACUERDA</w:t>
      </w:r>
    </w:p>
    <w:p w:rsidR="00FC1C6E" w:rsidRDefault="00FC1C6E" w:rsidP="00CD59E7">
      <w:pPr>
        <w:widowControl w:val="0"/>
        <w:tabs>
          <w:tab w:val="left" w:pos="-720"/>
        </w:tabs>
        <w:suppressAutoHyphens/>
        <w:snapToGrid w:val="0"/>
        <w:spacing w:line="360" w:lineRule="auto"/>
        <w:ind w:left="426" w:hanging="426"/>
        <w:jc w:val="both"/>
        <w:rPr>
          <w:rFonts w:cs="Arial"/>
          <w:spacing w:val="-3"/>
          <w:lang w:val="es-ES_tradnl"/>
        </w:rPr>
      </w:pPr>
      <w:r>
        <w:rPr>
          <w:rFonts w:cs="Arial"/>
          <w:b/>
          <w:lang w:val="es-MX"/>
        </w:rPr>
        <w:t xml:space="preserve">1)  </w:t>
      </w:r>
      <w:r>
        <w:rPr>
          <w:rFonts w:cs="Arial"/>
          <w:lang w:val="es-MX"/>
        </w:rPr>
        <w:t>Emitir su Dictamen respecto a los Estados citados precedentemente, en los términos del Infor</w:t>
      </w:r>
      <w:r w:rsidR="000C35A7">
        <w:rPr>
          <w:rFonts w:cs="Arial"/>
          <w:lang w:val="es-MX"/>
        </w:rPr>
        <w:t>me de Auditoría que se adjunta;</w:t>
      </w:r>
    </w:p>
    <w:p w:rsidR="00FC1C6E" w:rsidRDefault="00FC1C6E" w:rsidP="00CD59E7">
      <w:pPr>
        <w:widowControl w:val="0"/>
        <w:tabs>
          <w:tab w:val="left" w:pos="-720"/>
        </w:tabs>
        <w:suppressAutoHyphens/>
        <w:snapToGrid w:val="0"/>
        <w:spacing w:line="360" w:lineRule="auto"/>
        <w:ind w:left="426" w:hanging="426"/>
        <w:jc w:val="both"/>
        <w:rPr>
          <w:rFonts w:cs="Arial"/>
          <w:spacing w:val="-3"/>
          <w:lang w:val="es-ES_tradnl"/>
        </w:rPr>
      </w:pPr>
      <w:r>
        <w:rPr>
          <w:rFonts w:cs="Arial"/>
          <w:b/>
          <w:lang w:val="es-ES_tradnl"/>
        </w:rPr>
        <w:t xml:space="preserve">2) </w:t>
      </w:r>
      <w:r>
        <w:rPr>
          <w:rFonts w:cs="Arial"/>
          <w:lang w:val="es-MX"/>
        </w:rPr>
        <w:t>A los efectos dispuestos por el Artículo 191 de la Constitución de la República y a los Artículos 12 y 13 del Decreto Nº 103/005, el Organismo deberá publicar los estados financieros y el Dictamen correspondiente incluido en el Informe de Auditoría;</w:t>
      </w:r>
    </w:p>
    <w:p w:rsidR="00FC1C6E" w:rsidRDefault="00FC1C6E" w:rsidP="00CD59E7">
      <w:pPr>
        <w:widowControl w:val="0"/>
        <w:tabs>
          <w:tab w:val="left" w:pos="-720"/>
        </w:tabs>
        <w:suppressAutoHyphens/>
        <w:snapToGrid w:val="0"/>
        <w:spacing w:line="360" w:lineRule="auto"/>
        <w:ind w:left="426" w:hanging="426"/>
        <w:jc w:val="both"/>
        <w:rPr>
          <w:rFonts w:cs="Arial"/>
          <w:lang w:val="es-MX"/>
        </w:rPr>
      </w:pPr>
      <w:r>
        <w:rPr>
          <w:rFonts w:cs="Arial"/>
          <w:b/>
          <w:lang w:val="es-ES_tradnl"/>
        </w:rPr>
        <w:lastRenderedPageBreak/>
        <w:t xml:space="preserve">3) </w:t>
      </w:r>
      <w:r>
        <w:rPr>
          <w:rFonts w:cs="Arial"/>
          <w:lang w:val="es-MX"/>
        </w:rPr>
        <w:t>Comunicar la presente Resolución al Poder Ejecutivo, a la Oficina de Planeamiento y Presupuesto y al Organismo; y</w:t>
      </w:r>
    </w:p>
    <w:p w:rsidR="00FC1C6E" w:rsidRDefault="00FC1C6E" w:rsidP="00FC1C6E">
      <w:pPr>
        <w:tabs>
          <w:tab w:val="left" w:pos="-720"/>
        </w:tabs>
        <w:suppressAutoHyphens/>
        <w:spacing w:line="360" w:lineRule="auto"/>
        <w:rPr>
          <w:lang w:val="es-MX"/>
        </w:rPr>
      </w:pPr>
      <w:r>
        <w:rPr>
          <w:rFonts w:cs="Arial"/>
          <w:b/>
          <w:bCs/>
          <w:lang w:val="es-MX"/>
        </w:rPr>
        <w:t xml:space="preserve">4)  </w:t>
      </w:r>
      <w:r>
        <w:rPr>
          <w:rFonts w:cs="Arial"/>
          <w:lang w:val="es-MX"/>
        </w:rPr>
        <w:t>D</w:t>
      </w:r>
      <w:r>
        <w:rPr>
          <w:lang w:val="es-MX"/>
        </w:rPr>
        <w:t>ar cuenta a la Asamblea General.</w:t>
      </w:r>
    </w:p>
    <w:p w:rsidR="000C35A7" w:rsidRDefault="000C35A7" w:rsidP="00FC1C6E">
      <w:pPr>
        <w:tabs>
          <w:tab w:val="left" w:pos="-720"/>
        </w:tabs>
        <w:suppressAutoHyphens/>
        <w:spacing w:line="360" w:lineRule="auto"/>
        <w:rPr>
          <w:lang w:val="es-MX"/>
        </w:rPr>
      </w:pPr>
    </w:p>
    <w:p w:rsidR="000C35A7" w:rsidRDefault="000C35A7" w:rsidP="00FC1C6E">
      <w:pPr>
        <w:tabs>
          <w:tab w:val="left" w:pos="-720"/>
        </w:tabs>
        <w:suppressAutoHyphens/>
        <w:spacing w:line="360" w:lineRule="auto"/>
        <w:rPr>
          <w:rFonts w:cs="Arial"/>
          <w:spacing w:val="-3"/>
          <w:lang w:val="es-ES_tradnl"/>
        </w:rPr>
      </w:pPr>
    </w:p>
    <w:p w:rsidR="000C35A7" w:rsidRDefault="000C35A7">
      <w:pPr>
        <w:spacing w:line="360" w:lineRule="auto"/>
        <w:jc w:val="center"/>
        <w:rPr>
          <w:rFonts w:cs="Arial"/>
          <w:b/>
          <w:bCs/>
        </w:rPr>
      </w:pPr>
      <w:r>
        <w:rPr>
          <w:rFonts w:cs="Arial"/>
          <w:b/>
          <w:bCs/>
        </w:rPr>
        <w:t>DICTAMEN</w:t>
      </w:r>
    </w:p>
    <w:p w:rsidR="000C35A7" w:rsidRDefault="000C35A7">
      <w:pPr>
        <w:widowControl w:val="0"/>
        <w:tabs>
          <w:tab w:val="left" w:pos="-720"/>
        </w:tabs>
        <w:suppressAutoHyphens/>
        <w:snapToGrid w:val="0"/>
        <w:jc w:val="both"/>
        <w:rPr>
          <w:rFonts w:cs="Arial"/>
          <w:b/>
        </w:rPr>
      </w:pPr>
    </w:p>
    <w:p w:rsidR="000C35A7" w:rsidRDefault="000C35A7"/>
    <w:p w:rsidR="000C35A7" w:rsidRDefault="000C35A7" w:rsidP="000C35A7">
      <w:pPr>
        <w:pStyle w:val="Sangradetextonormal"/>
        <w:ind w:firstLine="851"/>
      </w:pPr>
      <w:r>
        <w:t>El Tribunal de Cuentas ha examinado los estados financieros del Fondo de Garantía de Depósitos Bancarios (FGDB) remitidos por la Corporación de Protección del Ahorro Bancario (COPAB) que se adjuntan. Dichos estados financieros comprenden el Estado de Situación Patrimonial al 31/12/2013, los correspondientes Estados de Resultados, de Origen y Aplicación de Fondos y de Evolución del Patrimonio por el ejercicio anual finalizado en esa fecha, los Anexos y las Notas de Políticas Contables significativas, y otras Notas explicativas a los estados financieros.</w:t>
      </w:r>
    </w:p>
    <w:p w:rsidR="000C35A7" w:rsidRDefault="000C35A7" w:rsidP="000C35A7">
      <w:pPr>
        <w:pStyle w:val="Sangradetextonormal"/>
        <w:ind w:firstLine="851"/>
      </w:pPr>
      <w:r>
        <w:t>El Tribunal de Cuentas también ha auditado el cumplimiento por parte del FGDB de las disposiciones legales vigentes relacionadas con los estados financieros objeto de examen.</w:t>
      </w:r>
    </w:p>
    <w:p w:rsidR="000C35A7" w:rsidRDefault="000C35A7">
      <w:pPr>
        <w:pStyle w:val="Sangradetextonormal"/>
        <w:ind w:firstLine="720"/>
      </w:pPr>
    </w:p>
    <w:p w:rsidR="000C35A7" w:rsidRDefault="000C35A7">
      <w:pPr>
        <w:pStyle w:val="Sangradetextonormal"/>
        <w:ind w:firstLine="0"/>
        <w:rPr>
          <w:b/>
        </w:rPr>
      </w:pPr>
      <w:r>
        <w:rPr>
          <w:b/>
        </w:rPr>
        <w:t>Responsabilidad de la Dirección por los estados financieros</w:t>
      </w:r>
    </w:p>
    <w:p w:rsidR="000C35A7" w:rsidRDefault="000C35A7" w:rsidP="000C35A7">
      <w:pPr>
        <w:widowControl w:val="0"/>
        <w:tabs>
          <w:tab w:val="left" w:pos="-720"/>
        </w:tabs>
        <w:suppressAutoHyphens/>
        <w:snapToGrid w:val="0"/>
        <w:spacing w:line="360" w:lineRule="auto"/>
        <w:ind w:firstLine="851"/>
        <w:jc w:val="both"/>
        <w:rPr>
          <w:rFonts w:cs="Arial"/>
          <w:spacing w:val="-3"/>
          <w:lang w:val="es-ES_tradnl"/>
        </w:rPr>
      </w:pPr>
      <w:r>
        <w:rPr>
          <w:rFonts w:cs="Arial"/>
          <w:spacing w:val="-3"/>
          <w:lang w:val="es-ES_tradnl"/>
        </w:rPr>
        <w:t>La Dirección de la COPAB es responsable por la preparación y la razonable presentación de los estados financieros del FGDB de acuerdo con normas contables adecuadas y con la Ordenanza Nº 81 del Tribunal de Cuentas. 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0C35A7" w:rsidRDefault="000C35A7">
      <w:pPr>
        <w:pStyle w:val="Sangradetextonormal"/>
        <w:ind w:firstLine="720"/>
      </w:pPr>
    </w:p>
    <w:p w:rsidR="000C35A7" w:rsidRDefault="000C35A7">
      <w:pPr>
        <w:pStyle w:val="Sangradetextonormal"/>
        <w:ind w:firstLine="0"/>
        <w:rPr>
          <w:b/>
        </w:rPr>
      </w:pPr>
      <w:r>
        <w:rPr>
          <w:b/>
        </w:rPr>
        <w:t>Responsabilidad del Auditor</w:t>
      </w:r>
    </w:p>
    <w:p w:rsidR="000C35A7" w:rsidRDefault="000C35A7" w:rsidP="000C35A7">
      <w:pPr>
        <w:spacing w:after="260" w:line="360" w:lineRule="auto"/>
        <w:ind w:firstLine="851"/>
        <w:jc w:val="both"/>
        <w:rPr>
          <w:rFonts w:cs="Arial"/>
          <w:spacing w:val="-3"/>
          <w:lang w:val="es-ES_tradnl"/>
        </w:rPr>
      </w:pPr>
      <w:r>
        <w:rPr>
          <w:rFonts w:cs="Arial"/>
          <w:spacing w:val="-3"/>
          <w:lang w:val="es-ES_tradnl"/>
        </w:rPr>
        <w:t xml:space="preserve">La responsabilidad del Tribunal de Cuentas es expresar una opinión sobre dichos estados financieros basada en la auditoría. Esta auditoría fue practicada de acuerdo con los Principios Fundamentales de Auditoría </w:t>
      </w:r>
      <w:r>
        <w:t>(ISSAI 100 y 200) y las Directrices de Auditoría Financiera (ISSAI 1000 a 1810)</w:t>
      </w:r>
      <w:r>
        <w:rPr>
          <w:rFonts w:cs="Arial"/>
          <w:spacing w:val="-3"/>
          <w:lang w:val="es-ES_tradnl"/>
        </w:rPr>
        <w:t xml:space="preserve"> de la Organización Internacional de Entidades Fiscalizadoras Superiores (INTOSAI).  Estas normas requieren que se cumpla con requisitos éticos, se planifique y se realice la auditoría para obtener seguridad razonable acerca de si los estados financieros están lib</w:t>
      </w:r>
      <w:r w:rsidR="00287D7F">
        <w:rPr>
          <w:rFonts w:cs="Arial"/>
          <w:spacing w:val="-3"/>
          <w:lang w:val="es-ES_tradnl"/>
        </w:rPr>
        <w:t>res de errores significativos.</w:t>
      </w:r>
    </w:p>
    <w:p w:rsidR="000C35A7" w:rsidRDefault="000C35A7" w:rsidP="000C35A7">
      <w:pPr>
        <w:spacing w:line="360" w:lineRule="auto"/>
        <w:ind w:firstLine="851"/>
        <w:jc w:val="both"/>
        <w:rPr>
          <w:rFonts w:cs="Arial"/>
          <w:spacing w:val="-3"/>
          <w:lang w:val="es-ES_tradnl"/>
        </w:rPr>
      </w:pPr>
      <w:r>
        <w:rPr>
          <w:rFonts w:cs="Arial"/>
          <w:spacing w:val="-3"/>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0C35A7" w:rsidRDefault="000C35A7" w:rsidP="000C35A7">
      <w:pPr>
        <w:spacing w:line="360" w:lineRule="auto"/>
        <w:ind w:firstLine="851"/>
        <w:jc w:val="both"/>
      </w:pPr>
      <w:r>
        <w:rPr>
          <w:rFonts w:cs="Arial"/>
          <w:spacing w:val="-3"/>
          <w:lang w:val="es-ES_tradnl"/>
        </w:rPr>
        <w:t>Se considera que la evidencia de auditoría obtenida brinda una base suficiente y apropiada para sustentar la opinión</w:t>
      </w:r>
      <w:r>
        <w:t>.</w:t>
      </w:r>
    </w:p>
    <w:p w:rsidR="000C35A7" w:rsidRDefault="000C35A7">
      <w:pPr>
        <w:pStyle w:val="Sangradetextonormal"/>
        <w:ind w:firstLine="0"/>
        <w:rPr>
          <w:b/>
        </w:rPr>
      </w:pPr>
    </w:p>
    <w:p w:rsidR="000C35A7" w:rsidRDefault="000C35A7">
      <w:pPr>
        <w:pStyle w:val="Sangradetextonormal"/>
        <w:ind w:firstLine="0"/>
        <w:rPr>
          <w:b/>
        </w:rPr>
      </w:pPr>
      <w:r>
        <w:rPr>
          <w:b/>
        </w:rPr>
        <w:t>Opinión</w:t>
      </w:r>
    </w:p>
    <w:p w:rsidR="000C35A7" w:rsidRDefault="000C35A7" w:rsidP="000C35A7">
      <w:pPr>
        <w:pStyle w:val="Sangradetextonormal"/>
        <w:ind w:firstLine="851"/>
      </w:pPr>
      <w:r>
        <w:rPr>
          <w:bCs/>
        </w:rPr>
        <w:t>En opinión del Tribunal de Cuentas, los estados financieros referidos</w:t>
      </w:r>
      <w:r>
        <w:t xml:space="preserve"> precedentemente presentan razonablemente, en todos sus aspectos importantes, la situación patrimonial del FGDB al 31/12/2013, los resultados de sus operaciones y los flujos de efectivo correspondientes al ejercicio anual terminado en esa fecha, de acuerdo con normas contables adecuadas y con la Ordenanza Nº 81 del Tribunal de Cuentas.</w:t>
      </w:r>
    </w:p>
    <w:p w:rsidR="000C35A7" w:rsidRDefault="000C35A7" w:rsidP="000C35A7">
      <w:pPr>
        <w:pStyle w:val="Sangradetextonormal"/>
        <w:ind w:firstLine="851"/>
      </w:pPr>
      <w:r>
        <w:t>Con relación a las disposiciones legales y reglamentarias vigentes relacionadas con los estados financieros que fueron objeto de examen en el transcurso de la auditoría, no se han constatado incumplimientos.</w:t>
      </w:r>
    </w:p>
    <w:p w:rsidR="000C35A7" w:rsidRDefault="000C35A7">
      <w:pPr>
        <w:pStyle w:val="Textoindependiente2"/>
        <w:spacing w:line="360" w:lineRule="auto"/>
        <w:jc w:val="right"/>
        <w:rPr>
          <w:lang w:val="es-ES_tradnl"/>
        </w:rPr>
      </w:pPr>
      <w:r>
        <w:t>Montevideo, 30</w:t>
      </w:r>
      <w:r>
        <w:rPr>
          <w:lang w:val="es-ES_tradnl"/>
        </w:rPr>
        <w:t xml:space="preserve"> de mayo de 2014</w:t>
      </w:r>
    </w:p>
    <w:p w:rsidR="000C35A7" w:rsidRDefault="000C35A7">
      <w:pPr>
        <w:pStyle w:val="Textoindependiente2"/>
        <w:spacing w:line="360" w:lineRule="auto"/>
        <w:jc w:val="right"/>
        <w:rPr>
          <w:lang w:val="es-ES_tradnl"/>
        </w:rPr>
      </w:pPr>
    </w:p>
    <w:p w:rsidR="00AC4C31" w:rsidRDefault="00AC4C31">
      <w:pPr>
        <w:pStyle w:val="Textoindependiente2"/>
        <w:spacing w:line="360" w:lineRule="auto"/>
        <w:jc w:val="right"/>
        <w:rPr>
          <w:lang w:val="es-ES_tradnl"/>
        </w:rPr>
      </w:pPr>
    </w:p>
    <w:p w:rsidR="000C35A7" w:rsidRDefault="000C35A7" w:rsidP="000C35A7">
      <w:pPr>
        <w:pStyle w:val="Ttulo1"/>
        <w:rPr>
          <w:bCs/>
        </w:rPr>
      </w:pPr>
      <w:r>
        <w:rPr>
          <w:bCs/>
        </w:rPr>
        <w:t>INFORME A LA ADMINISTRACIÓN</w:t>
      </w:r>
    </w:p>
    <w:p w:rsidR="000C35A7" w:rsidRDefault="000C35A7" w:rsidP="000C35A7"/>
    <w:p w:rsidR="00AC4C31" w:rsidRDefault="00AC4C31" w:rsidP="000C35A7"/>
    <w:p w:rsidR="000C35A7" w:rsidRDefault="000C35A7" w:rsidP="000C35A7">
      <w:pPr>
        <w:widowControl w:val="0"/>
        <w:tabs>
          <w:tab w:val="left" w:pos="0"/>
        </w:tabs>
        <w:spacing w:line="360" w:lineRule="auto"/>
        <w:ind w:firstLine="851"/>
        <w:jc w:val="both"/>
        <w:rPr>
          <w:rFonts w:cs="Arial"/>
        </w:rPr>
      </w:pPr>
      <w:r>
        <w:t xml:space="preserve">El Tribunal de Cuentas ha examinado los estados financieros del Fondo de Garantía de Depósitos Bancarios (FGDB) correspondientes al ejercicio </w:t>
      </w:r>
      <w:r>
        <w:rPr>
          <w:rFonts w:cs="Arial"/>
        </w:rPr>
        <w:t>finalizado el 31/12</w:t>
      </w:r>
      <w:r w:rsidR="00287D7F">
        <w:rPr>
          <w:rFonts w:cs="Arial"/>
        </w:rPr>
        <w:t>/2013 y ha emitido su dictamen.</w:t>
      </w:r>
    </w:p>
    <w:p w:rsidR="000C35A7" w:rsidRDefault="000C35A7" w:rsidP="000C35A7">
      <w:pPr>
        <w:pStyle w:val="Sangradetextonormal"/>
        <w:ind w:firstLine="851"/>
      </w:pPr>
      <w:r>
        <w:t>En este capítulo del informe se agregan consideraciones relativas a la presentación de dichos estados y la eva</w:t>
      </w:r>
      <w:r>
        <w:softHyphen/>
        <w:t xml:space="preserve">luación </w:t>
      </w:r>
      <w:r w:rsidR="00287D7F">
        <w:t>del sistema de control interno.</w:t>
      </w:r>
    </w:p>
    <w:p w:rsidR="000C35A7" w:rsidRDefault="000C35A7" w:rsidP="000C35A7">
      <w:pPr>
        <w:tabs>
          <w:tab w:val="left" w:pos="-720"/>
        </w:tabs>
        <w:suppressAutoHyphens/>
        <w:spacing w:line="360" w:lineRule="auto"/>
        <w:jc w:val="both"/>
        <w:rPr>
          <w:rFonts w:cs="Arial"/>
          <w:b/>
          <w:spacing w:val="-3"/>
          <w:lang w:val="es-ES_tradnl"/>
        </w:rPr>
      </w:pPr>
    </w:p>
    <w:p w:rsidR="000C35A7" w:rsidRDefault="000C35A7" w:rsidP="000C35A7">
      <w:pPr>
        <w:tabs>
          <w:tab w:val="left" w:pos="-720"/>
        </w:tabs>
        <w:suppressAutoHyphens/>
        <w:spacing w:line="360" w:lineRule="auto"/>
        <w:jc w:val="both"/>
        <w:rPr>
          <w:rFonts w:cs="Arial"/>
          <w:b/>
          <w:spacing w:val="-3"/>
          <w:lang w:val="es-ES_tradnl"/>
        </w:rPr>
      </w:pPr>
      <w:r>
        <w:rPr>
          <w:rFonts w:cs="Arial"/>
          <w:b/>
          <w:spacing w:val="-3"/>
          <w:lang w:val="es-ES_tradnl"/>
        </w:rPr>
        <w:t>1.</w:t>
      </w:r>
      <w:r>
        <w:rPr>
          <w:rFonts w:cs="Arial"/>
          <w:b/>
          <w:spacing w:val="-3"/>
          <w:lang w:val="es-ES_tradnl"/>
        </w:rPr>
        <w:tab/>
        <w:t>Presentación de Estados Contables</w:t>
      </w:r>
    </w:p>
    <w:p w:rsidR="000C35A7" w:rsidRDefault="000C35A7" w:rsidP="000C35A7">
      <w:pPr>
        <w:tabs>
          <w:tab w:val="left" w:pos="-720"/>
        </w:tabs>
        <w:suppressAutoHyphens/>
        <w:spacing w:line="360" w:lineRule="auto"/>
        <w:ind w:firstLine="851"/>
        <w:jc w:val="both"/>
        <w:rPr>
          <w:rFonts w:cs="Arial"/>
          <w:spacing w:val="-3"/>
          <w:lang w:val="es-ES_tradnl"/>
        </w:rPr>
      </w:pPr>
      <w:r>
        <w:rPr>
          <w:rFonts w:cs="Arial"/>
          <w:spacing w:val="-3"/>
          <w:lang w:val="es-ES_tradnl"/>
        </w:rPr>
        <w:t>Con fecha 26/03/2014 el FGDB remitió el Estado de Situación Patrimonial al 31/12/2013, los correspondientes Estados de Resultados, de Flujos de Efectivo y de Evolución del Patrimonio por el ejercicio finalizado en esa fecha, y sus respectivas notas.</w:t>
      </w:r>
    </w:p>
    <w:p w:rsidR="000C35A7" w:rsidRDefault="000C35A7" w:rsidP="000C35A7">
      <w:pPr>
        <w:tabs>
          <w:tab w:val="left" w:pos="-720"/>
        </w:tabs>
        <w:suppressAutoHyphens/>
        <w:spacing w:line="360" w:lineRule="auto"/>
        <w:ind w:firstLine="851"/>
        <w:jc w:val="both"/>
        <w:rPr>
          <w:rFonts w:cs="Arial"/>
          <w:bCs/>
          <w:spacing w:val="-3"/>
          <w:lang w:val="es-ES_tradnl"/>
        </w:rPr>
      </w:pPr>
      <w:r>
        <w:rPr>
          <w:rFonts w:cs="Arial"/>
          <w:spacing w:val="-3"/>
          <w:lang w:val="es-ES_tradnl"/>
        </w:rPr>
        <w:t>Los estados mencionados fueron aprobados por la Dirección de la COPAB según RD Nº 09/2014 (Acta Nº 155) de fecha 12/03/2014.</w:t>
      </w:r>
    </w:p>
    <w:p w:rsidR="000C35A7" w:rsidRDefault="000C35A7" w:rsidP="000C35A7">
      <w:pPr>
        <w:tabs>
          <w:tab w:val="left" w:pos="-720"/>
        </w:tabs>
        <w:suppressAutoHyphens/>
        <w:spacing w:line="360" w:lineRule="auto"/>
        <w:ind w:firstLine="851"/>
        <w:jc w:val="both"/>
        <w:rPr>
          <w:rFonts w:cs="Arial"/>
          <w:spacing w:val="-3"/>
        </w:rPr>
      </w:pPr>
      <w:r>
        <w:rPr>
          <w:rFonts w:cs="Arial"/>
          <w:color w:val="000000"/>
          <w:lang w:val="es-ES_tradnl"/>
        </w:rPr>
        <w:t>Dichos estados fueron preparados de acuerdo con normas contables adecuadas en Uruguay y la Ordenanza 81 del Tribunal de Cuentas de la República Or</w:t>
      </w:r>
      <w:r w:rsidR="00287D7F">
        <w:rPr>
          <w:rFonts w:cs="Arial"/>
          <w:color w:val="000000"/>
          <w:lang w:val="es-ES_tradnl"/>
        </w:rPr>
        <w:t>iental del Uruguay.</w:t>
      </w:r>
    </w:p>
    <w:p w:rsidR="000C35A7" w:rsidRPr="00287D7F" w:rsidRDefault="000C35A7" w:rsidP="000C35A7">
      <w:pPr>
        <w:tabs>
          <w:tab w:val="left" w:pos="-720"/>
        </w:tabs>
        <w:suppressAutoHyphens/>
        <w:spacing w:line="360" w:lineRule="auto"/>
        <w:jc w:val="both"/>
        <w:rPr>
          <w:rFonts w:cs="Arial"/>
          <w:color w:val="000000"/>
        </w:rPr>
      </w:pPr>
    </w:p>
    <w:p w:rsidR="000C35A7" w:rsidRDefault="000C35A7" w:rsidP="000C35A7">
      <w:pPr>
        <w:tabs>
          <w:tab w:val="left" w:pos="-720"/>
        </w:tabs>
        <w:suppressAutoHyphens/>
        <w:spacing w:line="360" w:lineRule="auto"/>
        <w:jc w:val="both"/>
        <w:rPr>
          <w:rFonts w:cs="Arial"/>
          <w:b/>
          <w:spacing w:val="-3"/>
          <w:lang w:val="es-ES_tradnl"/>
        </w:rPr>
      </w:pPr>
      <w:r>
        <w:rPr>
          <w:rFonts w:cs="Arial"/>
          <w:b/>
          <w:spacing w:val="-3"/>
        </w:rPr>
        <w:t>2.</w:t>
      </w:r>
      <w:r>
        <w:rPr>
          <w:rFonts w:cs="Arial"/>
          <w:b/>
          <w:spacing w:val="-3"/>
        </w:rPr>
        <w:tab/>
      </w:r>
      <w:r>
        <w:rPr>
          <w:rFonts w:cs="Arial"/>
          <w:b/>
          <w:spacing w:val="-3"/>
          <w:lang w:val="es-ES_tradnl"/>
        </w:rPr>
        <w:t>Evaluación del Sistema de Control Interno</w:t>
      </w:r>
    </w:p>
    <w:p w:rsidR="000C35A7" w:rsidRDefault="000C35A7" w:rsidP="000C35A7">
      <w:pPr>
        <w:spacing w:line="360" w:lineRule="auto"/>
        <w:ind w:firstLine="851"/>
        <w:jc w:val="both"/>
        <w:rPr>
          <w:rFonts w:cs="Arial"/>
        </w:rPr>
      </w:pPr>
      <w:r>
        <w:rPr>
          <w:rFonts w:cs="Arial"/>
        </w:rPr>
        <w:t>La evaluación del sistema de control interno no fue realizada con el propósito de emitir una opinión respecto al mismo, sino para establecer los procedimientos de auditoría que debían aplicarse como prueba de la eficacia de los con</w:t>
      </w:r>
      <w:r>
        <w:rPr>
          <w:rFonts w:cs="Arial"/>
        </w:rPr>
        <w:softHyphen/>
        <w:t>troles implementados en relación con el objetivo de la auditoría practicada.</w:t>
      </w:r>
    </w:p>
    <w:p w:rsidR="000C35A7" w:rsidRDefault="000C35A7" w:rsidP="000C35A7">
      <w:pPr>
        <w:pStyle w:val="Sangradetextonormal"/>
        <w:tabs>
          <w:tab w:val="clear" w:pos="-720"/>
        </w:tabs>
        <w:suppressAutoHyphens w:val="0"/>
        <w:ind w:firstLine="851"/>
      </w:pPr>
      <w:r>
        <w:t xml:space="preserve">Del examen realizado se concluye que el sistema de control interno diseñado e implementado para preparar la información sujeta a examen </w:t>
      </w:r>
      <w:r w:rsidR="00287D7F">
        <w:t>es adecuado.</w:t>
      </w:r>
    </w:p>
    <w:p w:rsidR="000C35A7" w:rsidRDefault="000C35A7" w:rsidP="000C35A7">
      <w:pPr>
        <w:tabs>
          <w:tab w:val="left" w:pos="-720"/>
        </w:tabs>
        <w:suppressAutoHyphens/>
        <w:jc w:val="right"/>
        <w:rPr>
          <w:rFonts w:cs="Arial"/>
          <w:spacing w:val="-3"/>
          <w:lang w:val="es-ES_tradnl"/>
        </w:rPr>
      </w:pPr>
      <w:r>
        <w:rPr>
          <w:rFonts w:cs="Arial"/>
          <w:spacing w:val="-3"/>
          <w:lang w:val="es-ES_tradnl"/>
        </w:rPr>
        <w:t>Montevideo, 30 de mayo de 2014</w:t>
      </w:r>
    </w:p>
    <w:p w:rsidR="00FC1C6E" w:rsidRPr="00AC4C31" w:rsidRDefault="00AC4C31" w:rsidP="00AC4C31">
      <w:pPr>
        <w:tabs>
          <w:tab w:val="left" w:pos="-720"/>
        </w:tabs>
        <w:suppressAutoHyphens/>
        <w:ind w:hanging="567"/>
        <w:rPr>
          <w:rFonts w:cs="Arial"/>
          <w:spacing w:val="-3"/>
          <w:lang w:val="es-ES_tradnl"/>
        </w:rPr>
      </w:pPr>
      <w:proofErr w:type="gramStart"/>
      <w:r w:rsidRPr="00AC4C31">
        <w:rPr>
          <w:rFonts w:cs="Arial"/>
          <w:spacing w:val="-3"/>
          <w:lang w:val="es-ES_tradnl"/>
        </w:rPr>
        <w:t>dc</w:t>
      </w:r>
      <w:proofErr w:type="gramEnd"/>
    </w:p>
    <w:sectPr w:rsidR="00FC1C6E" w:rsidRPr="00AC4C31" w:rsidSect="00CD59E7">
      <w:footerReference w:type="even" r:id="rId7"/>
      <w:footerReference w:type="default" r:id="rId8"/>
      <w:pgSz w:w="11906" w:h="16838" w:code="9"/>
      <w:pgMar w:top="3119" w:right="1701" w:bottom="1418" w:left="1701" w:header="1134" w:footer="1134"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5A7" w:rsidRDefault="000C35A7">
      <w:r>
        <w:separator/>
      </w:r>
    </w:p>
  </w:endnote>
  <w:endnote w:type="continuationSeparator" w:id="0">
    <w:p w:rsidR="000C35A7" w:rsidRDefault="000C3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A7" w:rsidRDefault="000C35A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C35A7" w:rsidRDefault="000C35A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5A7" w:rsidRDefault="000C35A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87D7F">
      <w:rPr>
        <w:rStyle w:val="Nmerodepgina"/>
        <w:noProof/>
      </w:rPr>
      <w:t>1</w:t>
    </w:r>
    <w:r>
      <w:rPr>
        <w:rStyle w:val="Nmerodepgina"/>
      </w:rPr>
      <w:fldChar w:fldCharType="end"/>
    </w:r>
  </w:p>
  <w:p w:rsidR="000C35A7" w:rsidRDefault="000C35A7">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5A7" w:rsidRDefault="000C35A7">
      <w:r>
        <w:separator/>
      </w:r>
    </w:p>
  </w:footnote>
  <w:footnote w:type="continuationSeparator" w:id="0">
    <w:p w:rsidR="000C35A7" w:rsidRDefault="000C3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C6E"/>
    <w:rsid w:val="000C35A7"/>
    <w:rsid w:val="00206A76"/>
    <w:rsid w:val="00287D7F"/>
    <w:rsid w:val="00635A63"/>
    <w:rsid w:val="00A51AAC"/>
    <w:rsid w:val="00AC4C31"/>
    <w:rsid w:val="00CD59E7"/>
    <w:rsid w:val="00D26F19"/>
    <w:rsid w:val="00FC1C6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6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C1C6E"/>
    <w:pPr>
      <w:keepNext/>
      <w:spacing w:line="360" w:lineRule="auto"/>
      <w:jc w:val="center"/>
      <w:outlineLvl w:val="0"/>
    </w:pPr>
    <w:rPr>
      <w:rFonts w:cs="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1C6E"/>
    <w:rPr>
      <w:rFonts w:ascii="Arial" w:eastAsia="Times New Roman" w:hAnsi="Arial" w:cs="Arial"/>
      <w:b/>
      <w:sz w:val="24"/>
      <w:szCs w:val="20"/>
      <w:lang w:val="es-MX" w:eastAsia="es-ES"/>
    </w:rPr>
  </w:style>
  <w:style w:type="paragraph" w:styleId="Textoindependiente">
    <w:name w:val="Body Text"/>
    <w:basedOn w:val="Normal"/>
    <w:link w:val="TextoindependienteCar"/>
    <w:semiHidden/>
    <w:rsid w:val="00FC1C6E"/>
    <w:pPr>
      <w:widowControl w:val="0"/>
      <w:tabs>
        <w:tab w:val="left" w:pos="-720"/>
      </w:tabs>
      <w:suppressAutoHyphens/>
      <w:jc w:val="both"/>
    </w:pPr>
    <w:rPr>
      <w:snapToGrid w:val="0"/>
      <w:spacing w:val="-3"/>
      <w:szCs w:val="20"/>
      <w:lang w:val="es-ES_tradnl"/>
    </w:rPr>
  </w:style>
  <w:style w:type="character" w:customStyle="1" w:styleId="TextoindependienteCar">
    <w:name w:val="Texto independiente Car"/>
    <w:basedOn w:val="Fuentedeprrafopredeter"/>
    <w:link w:val="Textoindependiente"/>
    <w:semiHidden/>
    <w:rsid w:val="00FC1C6E"/>
    <w:rPr>
      <w:rFonts w:ascii="Arial" w:eastAsia="Times New Roman" w:hAnsi="Arial" w:cs="Times New Roman"/>
      <w:snapToGrid w:val="0"/>
      <w:spacing w:val="-3"/>
      <w:sz w:val="24"/>
      <w:szCs w:val="20"/>
      <w:lang w:val="es-ES_tradnl" w:eastAsia="es-ES"/>
    </w:rPr>
  </w:style>
  <w:style w:type="paragraph" w:styleId="Piedepgina">
    <w:name w:val="footer"/>
    <w:basedOn w:val="Normal"/>
    <w:link w:val="PiedepginaCar"/>
    <w:semiHidden/>
    <w:rsid w:val="00FC1C6E"/>
    <w:pPr>
      <w:widowControl w:val="0"/>
      <w:tabs>
        <w:tab w:val="center" w:pos="4419"/>
        <w:tab w:val="right" w:pos="8838"/>
      </w:tabs>
    </w:pPr>
    <w:rPr>
      <w:snapToGrid w:val="0"/>
      <w:szCs w:val="20"/>
    </w:rPr>
  </w:style>
  <w:style w:type="character" w:customStyle="1" w:styleId="PiedepginaCar">
    <w:name w:val="Pie de página Car"/>
    <w:basedOn w:val="Fuentedeprrafopredeter"/>
    <w:link w:val="Piedepgina"/>
    <w:semiHidden/>
    <w:rsid w:val="00FC1C6E"/>
    <w:rPr>
      <w:rFonts w:ascii="Arial" w:eastAsia="Times New Roman" w:hAnsi="Arial" w:cs="Times New Roman"/>
      <w:snapToGrid w:val="0"/>
      <w:sz w:val="24"/>
      <w:szCs w:val="20"/>
      <w:lang w:val="es-ES" w:eastAsia="es-ES"/>
    </w:rPr>
  </w:style>
  <w:style w:type="character" w:styleId="Nmerodepgina">
    <w:name w:val="page number"/>
    <w:basedOn w:val="Fuentedeprrafopredeter"/>
    <w:semiHidden/>
    <w:rsid w:val="00FC1C6E"/>
  </w:style>
  <w:style w:type="paragraph" w:customStyle="1" w:styleId="Textonormal">
    <w:name w:val="Texto normal"/>
    <w:basedOn w:val="Textoindependiente"/>
    <w:rsid w:val="00FC1C6E"/>
    <w:pPr>
      <w:spacing w:line="480" w:lineRule="auto"/>
    </w:pPr>
    <w:rPr>
      <w:rFonts w:ascii="Courier" w:hAnsi="Courier"/>
    </w:rPr>
  </w:style>
  <w:style w:type="paragraph" w:styleId="Encabezado">
    <w:name w:val="header"/>
    <w:basedOn w:val="Normal"/>
    <w:link w:val="EncabezadoCar"/>
    <w:semiHidden/>
    <w:rsid w:val="00FC1C6E"/>
    <w:pPr>
      <w:tabs>
        <w:tab w:val="center" w:pos="4252"/>
        <w:tab w:val="right" w:pos="8504"/>
      </w:tabs>
    </w:pPr>
  </w:style>
  <w:style w:type="character" w:customStyle="1" w:styleId="EncabezadoCar">
    <w:name w:val="Encabezado Car"/>
    <w:basedOn w:val="Fuentedeprrafopredeter"/>
    <w:link w:val="Encabezado"/>
    <w:semiHidden/>
    <w:rsid w:val="00FC1C6E"/>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0C35A7"/>
    <w:pPr>
      <w:tabs>
        <w:tab w:val="left" w:pos="-720"/>
      </w:tabs>
      <w:suppressAutoHyphens/>
      <w:spacing w:line="360" w:lineRule="auto"/>
      <w:ind w:firstLine="840"/>
      <w:jc w:val="both"/>
    </w:pPr>
    <w:rPr>
      <w:rFonts w:cs="Arial"/>
      <w:spacing w:val="-3"/>
      <w:lang w:val="es-ES_tradnl"/>
    </w:rPr>
  </w:style>
  <w:style w:type="character" w:customStyle="1" w:styleId="SangradetextonormalCar">
    <w:name w:val="Sangría de texto normal Car"/>
    <w:basedOn w:val="Fuentedeprrafopredeter"/>
    <w:link w:val="Sangradetextonormal"/>
    <w:semiHidden/>
    <w:rsid w:val="000C35A7"/>
    <w:rPr>
      <w:rFonts w:ascii="Arial" w:eastAsia="Times New Roman" w:hAnsi="Arial" w:cs="Arial"/>
      <w:spacing w:val="-3"/>
      <w:sz w:val="24"/>
      <w:szCs w:val="24"/>
      <w:lang w:val="es-ES_tradnl" w:eastAsia="es-ES"/>
    </w:rPr>
  </w:style>
  <w:style w:type="paragraph" w:styleId="Textoindependiente2">
    <w:name w:val="Body Text 2"/>
    <w:basedOn w:val="Normal"/>
    <w:link w:val="Textoindependiente2Car"/>
    <w:semiHidden/>
    <w:rsid w:val="000C35A7"/>
    <w:pPr>
      <w:spacing w:after="120" w:line="480" w:lineRule="auto"/>
    </w:pPr>
  </w:style>
  <w:style w:type="character" w:customStyle="1" w:styleId="Textoindependiente2Car">
    <w:name w:val="Texto independiente 2 Car"/>
    <w:basedOn w:val="Fuentedeprrafopredeter"/>
    <w:link w:val="Textoindependiente2"/>
    <w:semiHidden/>
    <w:rsid w:val="000C35A7"/>
    <w:rPr>
      <w:rFonts w:ascii="Arial" w:eastAsia="Times New Roman" w:hAnsi="Arial"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C6E"/>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FC1C6E"/>
    <w:pPr>
      <w:keepNext/>
      <w:spacing w:line="360" w:lineRule="auto"/>
      <w:jc w:val="center"/>
      <w:outlineLvl w:val="0"/>
    </w:pPr>
    <w:rPr>
      <w:rFonts w:cs="Arial"/>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1C6E"/>
    <w:rPr>
      <w:rFonts w:ascii="Arial" w:eastAsia="Times New Roman" w:hAnsi="Arial" w:cs="Arial"/>
      <w:b/>
      <w:sz w:val="24"/>
      <w:szCs w:val="20"/>
      <w:lang w:val="es-MX" w:eastAsia="es-ES"/>
    </w:rPr>
  </w:style>
  <w:style w:type="paragraph" w:styleId="Textoindependiente">
    <w:name w:val="Body Text"/>
    <w:basedOn w:val="Normal"/>
    <w:link w:val="TextoindependienteCar"/>
    <w:semiHidden/>
    <w:rsid w:val="00FC1C6E"/>
    <w:pPr>
      <w:widowControl w:val="0"/>
      <w:tabs>
        <w:tab w:val="left" w:pos="-720"/>
      </w:tabs>
      <w:suppressAutoHyphens/>
      <w:jc w:val="both"/>
    </w:pPr>
    <w:rPr>
      <w:snapToGrid w:val="0"/>
      <w:spacing w:val="-3"/>
      <w:szCs w:val="20"/>
      <w:lang w:val="es-ES_tradnl"/>
    </w:rPr>
  </w:style>
  <w:style w:type="character" w:customStyle="1" w:styleId="TextoindependienteCar">
    <w:name w:val="Texto independiente Car"/>
    <w:basedOn w:val="Fuentedeprrafopredeter"/>
    <w:link w:val="Textoindependiente"/>
    <w:semiHidden/>
    <w:rsid w:val="00FC1C6E"/>
    <w:rPr>
      <w:rFonts w:ascii="Arial" w:eastAsia="Times New Roman" w:hAnsi="Arial" w:cs="Times New Roman"/>
      <w:snapToGrid w:val="0"/>
      <w:spacing w:val="-3"/>
      <w:sz w:val="24"/>
      <w:szCs w:val="20"/>
      <w:lang w:val="es-ES_tradnl" w:eastAsia="es-ES"/>
    </w:rPr>
  </w:style>
  <w:style w:type="paragraph" w:styleId="Piedepgina">
    <w:name w:val="footer"/>
    <w:basedOn w:val="Normal"/>
    <w:link w:val="PiedepginaCar"/>
    <w:semiHidden/>
    <w:rsid w:val="00FC1C6E"/>
    <w:pPr>
      <w:widowControl w:val="0"/>
      <w:tabs>
        <w:tab w:val="center" w:pos="4419"/>
        <w:tab w:val="right" w:pos="8838"/>
      </w:tabs>
    </w:pPr>
    <w:rPr>
      <w:snapToGrid w:val="0"/>
      <w:szCs w:val="20"/>
    </w:rPr>
  </w:style>
  <w:style w:type="character" w:customStyle="1" w:styleId="PiedepginaCar">
    <w:name w:val="Pie de página Car"/>
    <w:basedOn w:val="Fuentedeprrafopredeter"/>
    <w:link w:val="Piedepgina"/>
    <w:semiHidden/>
    <w:rsid w:val="00FC1C6E"/>
    <w:rPr>
      <w:rFonts w:ascii="Arial" w:eastAsia="Times New Roman" w:hAnsi="Arial" w:cs="Times New Roman"/>
      <w:snapToGrid w:val="0"/>
      <w:sz w:val="24"/>
      <w:szCs w:val="20"/>
      <w:lang w:val="es-ES" w:eastAsia="es-ES"/>
    </w:rPr>
  </w:style>
  <w:style w:type="character" w:styleId="Nmerodepgina">
    <w:name w:val="page number"/>
    <w:basedOn w:val="Fuentedeprrafopredeter"/>
    <w:semiHidden/>
    <w:rsid w:val="00FC1C6E"/>
  </w:style>
  <w:style w:type="paragraph" w:customStyle="1" w:styleId="Textonormal">
    <w:name w:val="Texto normal"/>
    <w:basedOn w:val="Textoindependiente"/>
    <w:rsid w:val="00FC1C6E"/>
    <w:pPr>
      <w:spacing w:line="480" w:lineRule="auto"/>
    </w:pPr>
    <w:rPr>
      <w:rFonts w:ascii="Courier" w:hAnsi="Courier"/>
    </w:rPr>
  </w:style>
  <w:style w:type="paragraph" w:styleId="Encabezado">
    <w:name w:val="header"/>
    <w:basedOn w:val="Normal"/>
    <w:link w:val="EncabezadoCar"/>
    <w:semiHidden/>
    <w:rsid w:val="00FC1C6E"/>
    <w:pPr>
      <w:tabs>
        <w:tab w:val="center" w:pos="4252"/>
        <w:tab w:val="right" w:pos="8504"/>
      </w:tabs>
    </w:pPr>
  </w:style>
  <w:style w:type="character" w:customStyle="1" w:styleId="EncabezadoCar">
    <w:name w:val="Encabezado Car"/>
    <w:basedOn w:val="Fuentedeprrafopredeter"/>
    <w:link w:val="Encabezado"/>
    <w:semiHidden/>
    <w:rsid w:val="00FC1C6E"/>
    <w:rPr>
      <w:rFonts w:ascii="Arial" w:eastAsia="Times New Roman" w:hAnsi="Arial" w:cs="Times New Roman"/>
      <w:sz w:val="24"/>
      <w:szCs w:val="24"/>
      <w:lang w:val="es-ES" w:eastAsia="es-ES"/>
    </w:rPr>
  </w:style>
  <w:style w:type="paragraph" w:styleId="Sangradetextonormal">
    <w:name w:val="Body Text Indent"/>
    <w:basedOn w:val="Normal"/>
    <w:link w:val="SangradetextonormalCar"/>
    <w:semiHidden/>
    <w:rsid w:val="000C35A7"/>
    <w:pPr>
      <w:tabs>
        <w:tab w:val="left" w:pos="-720"/>
      </w:tabs>
      <w:suppressAutoHyphens/>
      <w:spacing w:line="360" w:lineRule="auto"/>
      <w:ind w:firstLine="840"/>
      <w:jc w:val="both"/>
    </w:pPr>
    <w:rPr>
      <w:rFonts w:cs="Arial"/>
      <w:spacing w:val="-3"/>
      <w:lang w:val="es-ES_tradnl"/>
    </w:rPr>
  </w:style>
  <w:style w:type="character" w:customStyle="1" w:styleId="SangradetextonormalCar">
    <w:name w:val="Sangría de texto normal Car"/>
    <w:basedOn w:val="Fuentedeprrafopredeter"/>
    <w:link w:val="Sangradetextonormal"/>
    <w:semiHidden/>
    <w:rsid w:val="000C35A7"/>
    <w:rPr>
      <w:rFonts w:ascii="Arial" w:eastAsia="Times New Roman" w:hAnsi="Arial" w:cs="Arial"/>
      <w:spacing w:val="-3"/>
      <w:sz w:val="24"/>
      <w:szCs w:val="24"/>
      <w:lang w:val="es-ES_tradnl" w:eastAsia="es-ES"/>
    </w:rPr>
  </w:style>
  <w:style w:type="paragraph" w:styleId="Textoindependiente2">
    <w:name w:val="Body Text 2"/>
    <w:basedOn w:val="Normal"/>
    <w:link w:val="Textoindependiente2Car"/>
    <w:semiHidden/>
    <w:rsid w:val="000C35A7"/>
    <w:pPr>
      <w:spacing w:after="120" w:line="480" w:lineRule="auto"/>
    </w:pPr>
  </w:style>
  <w:style w:type="character" w:customStyle="1" w:styleId="Textoindependiente2Car">
    <w:name w:val="Texto independiente 2 Car"/>
    <w:basedOn w:val="Fuentedeprrafopredeter"/>
    <w:link w:val="Textoindependiente2"/>
    <w:semiHidden/>
    <w:rsid w:val="000C35A7"/>
    <w:rPr>
      <w:rFonts w:ascii="Arial" w:eastAsia="Times New Roman" w:hAnsi="Arial"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1077</Words>
  <Characters>5925</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Castro</dc:creator>
  <cp:keywords/>
  <dc:description/>
  <cp:lastModifiedBy> </cp:lastModifiedBy>
  <cp:revision>3</cp:revision>
  <dcterms:created xsi:type="dcterms:W3CDTF">2014-06-23T17:59:00Z</dcterms:created>
  <dcterms:modified xsi:type="dcterms:W3CDTF">2014-07-22T17:25:00Z</dcterms:modified>
</cp:coreProperties>
</file>