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6F" w:rsidRDefault="0086026F">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86026F" w:rsidRDefault="0086026F">
      <w:pPr>
        <w:tabs>
          <w:tab w:val="left" w:pos="-720"/>
        </w:tabs>
        <w:suppressAutoHyphens/>
        <w:jc w:val="center"/>
        <w:rPr>
          <w:rFonts w:ascii="Helvetica" w:hAnsi="Helvetica"/>
          <w:b/>
          <w:lang w:val="es-ES_tradnl"/>
        </w:rPr>
      </w:pPr>
    </w:p>
    <w:p w:rsidR="0086026F" w:rsidRDefault="0086026F">
      <w:pPr>
        <w:tabs>
          <w:tab w:val="center" w:pos="4253"/>
        </w:tabs>
        <w:suppressAutoHyphens/>
        <w:jc w:val="center"/>
        <w:rPr>
          <w:rFonts w:ascii="Helvetica" w:hAnsi="Helvetica"/>
          <w:b/>
          <w:lang w:val="es-ES_tradnl"/>
        </w:rPr>
      </w:pPr>
      <w:r>
        <w:rPr>
          <w:rFonts w:ascii="Helvetica" w:hAnsi="Helvetica"/>
          <w:b/>
          <w:lang w:val="es-ES_tradnl"/>
        </w:rPr>
        <w:t>TRIBUNAL DE CUENTAS</w:t>
      </w:r>
    </w:p>
    <w:p w:rsidR="0086026F" w:rsidRDefault="0086026F">
      <w:pPr>
        <w:tabs>
          <w:tab w:val="left" w:pos="-720"/>
        </w:tabs>
        <w:suppressAutoHyphens/>
        <w:jc w:val="center"/>
        <w:rPr>
          <w:rFonts w:ascii="Helvetica" w:hAnsi="Helvetica"/>
          <w:b/>
          <w:lang w:val="es-ES_tradnl"/>
        </w:rPr>
      </w:pPr>
    </w:p>
    <w:p w:rsidR="0086026F" w:rsidRDefault="0086026F">
      <w:pPr>
        <w:tabs>
          <w:tab w:val="center" w:pos="4253"/>
        </w:tabs>
        <w:suppressAutoHyphens/>
        <w:jc w:val="center"/>
        <w:rPr>
          <w:rFonts w:ascii="Helvetica" w:hAnsi="Helvetica"/>
          <w:b/>
          <w:lang w:val="es-ES_tradnl"/>
        </w:rPr>
      </w:pPr>
      <w:r>
        <w:rPr>
          <w:rFonts w:ascii="Helvetica" w:hAnsi="Helvetica"/>
          <w:b/>
          <w:lang w:val="es-ES_tradnl"/>
        </w:rPr>
        <w:t>EN SESION DE FECHA 18 DE JUNIO DE 2014</w:t>
      </w:r>
    </w:p>
    <w:p w:rsidR="0086026F" w:rsidRDefault="0086026F">
      <w:pPr>
        <w:tabs>
          <w:tab w:val="center" w:pos="4253"/>
        </w:tabs>
        <w:suppressAutoHyphens/>
        <w:jc w:val="center"/>
        <w:rPr>
          <w:rFonts w:ascii="Helvetica" w:hAnsi="Helvetica"/>
          <w:b/>
          <w:lang w:val="es-ES_tradnl"/>
        </w:rPr>
      </w:pPr>
    </w:p>
    <w:p w:rsidR="0086026F" w:rsidRPr="0086026F" w:rsidRDefault="0086026F">
      <w:pPr>
        <w:tabs>
          <w:tab w:val="center" w:pos="4253"/>
        </w:tabs>
        <w:suppressAutoHyphens/>
        <w:jc w:val="center"/>
        <w:rPr>
          <w:rFonts w:ascii="Helvetica" w:hAnsi="Helvetica"/>
          <w:b/>
          <w:lang w:val="es-UY"/>
        </w:rPr>
      </w:pPr>
      <w:r w:rsidRPr="0086026F">
        <w:rPr>
          <w:rFonts w:ascii="Helvetica" w:hAnsi="Helvetica"/>
          <w:b/>
          <w:lang w:val="es-UY"/>
        </w:rPr>
        <w:t>(E. E. Nº 2014-17-1-0003276, Ent. N° 2469/14)</w:t>
      </w:r>
    </w:p>
    <w:p w:rsidR="0086026F" w:rsidRPr="0086026F" w:rsidRDefault="0086026F">
      <w:pPr>
        <w:tabs>
          <w:tab w:val="center" w:pos="4253"/>
        </w:tabs>
        <w:suppressAutoHyphens/>
        <w:jc w:val="center"/>
        <w:rPr>
          <w:spacing w:val="-3"/>
          <w:lang w:val="es-UY"/>
        </w:rPr>
      </w:pPr>
    </w:p>
    <w:p w:rsidR="0086026F" w:rsidRPr="0086026F" w:rsidRDefault="0086026F">
      <w:pPr>
        <w:tabs>
          <w:tab w:val="center" w:pos="4253"/>
        </w:tabs>
        <w:suppressAutoHyphens/>
        <w:rPr>
          <w:spacing w:val="-3"/>
          <w:lang w:val="es-UY"/>
        </w:rPr>
      </w:pPr>
    </w:p>
    <w:p w:rsidR="0086026F" w:rsidRDefault="00122D61" w:rsidP="0086026F">
      <w:pPr>
        <w:spacing w:line="360" w:lineRule="auto"/>
        <w:ind w:firstLine="851"/>
        <w:jc w:val="both"/>
      </w:pPr>
      <w:r>
        <w:rPr>
          <w:b/>
          <w:bCs/>
        </w:rPr>
        <w:t>VISTO:</w:t>
      </w:r>
      <w:r>
        <w:t xml:space="preserve"> que este Tribunal ha examinado la Rendición de Cuentas y Balance de Ejecución Presupuestal de la Junta Departamental d</w:t>
      </w:r>
      <w:r w:rsidR="0086026F">
        <w:t>e Río Negro correspondiente al E</w:t>
      </w:r>
      <w:r>
        <w:t>jercicio 2013;</w:t>
      </w:r>
    </w:p>
    <w:p w:rsidR="00122D61" w:rsidRDefault="00122D61" w:rsidP="0086026F">
      <w:pPr>
        <w:spacing w:line="360" w:lineRule="auto"/>
        <w:ind w:firstLine="851"/>
        <w:jc w:val="both"/>
      </w:pPr>
      <w:r>
        <w:rPr>
          <w:b/>
          <w:bCs/>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122D61" w:rsidRDefault="00122D61" w:rsidP="0086026F">
      <w:pPr>
        <w:spacing w:line="360" w:lineRule="auto"/>
        <w:ind w:firstLine="851"/>
        <w:jc w:val="both"/>
      </w:pPr>
      <w:r>
        <w:rPr>
          <w:b/>
          <w:bCs/>
        </w:rPr>
        <w:t xml:space="preserve">CONSIDERANDO: </w:t>
      </w:r>
      <w:r>
        <w:t>que las conclusiones y evidencias obtenidas son las que se expresan en el Informe de Auditoría, que incluye Dictamen e Informe a la Administración;</w:t>
      </w:r>
    </w:p>
    <w:p w:rsidR="00122D61" w:rsidRDefault="00122D61" w:rsidP="0086026F">
      <w:pPr>
        <w:spacing w:line="360" w:lineRule="auto"/>
        <w:ind w:firstLine="851"/>
        <w:jc w:val="both"/>
      </w:pPr>
      <w:r>
        <w:rPr>
          <w:b/>
          <w:bCs/>
        </w:rPr>
        <w:t xml:space="preserve">ATENTO: </w:t>
      </w:r>
      <w:r w:rsidR="0086026F">
        <w:t>a lo dispuesto por el Artículo</w:t>
      </w:r>
      <w:r>
        <w:t xml:space="preserve"> 211 Lit</w:t>
      </w:r>
      <w:r w:rsidR="0086026F">
        <w:t>eral</w:t>
      </w:r>
      <w:r>
        <w:t xml:space="preserve"> C) de la Constitución de la República;</w:t>
      </w:r>
    </w:p>
    <w:p w:rsidR="00122D61" w:rsidRDefault="00122D61">
      <w:pPr>
        <w:spacing w:line="360" w:lineRule="auto"/>
        <w:jc w:val="center"/>
        <w:rPr>
          <w:b/>
          <w:bCs/>
        </w:rPr>
      </w:pPr>
      <w:bookmarkStart w:id="0" w:name="_Toc75256577"/>
      <w:r>
        <w:rPr>
          <w:b/>
          <w:bCs/>
        </w:rPr>
        <w:t>EL TRIBUNAL ACUERDA</w:t>
      </w:r>
      <w:bookmarkEnd w:id="0"/>
    </w:p>
    <w:p w:rsidR="00122D61" w:rsidRDefault="00122D61">
      <w:pPr>
        <w:numPr>
          <w:ilvl w:val="0"/>
          <w:numId w:val="1"/>
        </w:numPr>
        <w:spacing w:line="360" w:lineRule="auto"/>
        <w:jc w:val="both"/>
      </w:pPr>
      <w:r>
        <w:t>Expedirse respecto a la Rendición de Cuentas y Balance de Ejecución Presupuestal de la Junta Departamental de Río Negro correspondiente al Ejercicio 2013, en los términos del Info</w:t>
      </w:r>
      <w:r w:rsidR="0086026F">
        <w:t>rme de Auditoría que se adjunta;</w:t>
      </w:r>
    </w:p>
    <w:p w:rsidR="00122D61" w:rsidRDefault="00122D61">
      <w:pPr>
        <w:numPr>
          <w:ilvl w:val="0"/>
          <w:numId w:val="1"/>
        </w:numPr>
        <w:spacing w:line="360" w:lineRule="auto"/>
        <w:jc w:val="both"/>
      </w:pPr>
      <w:r>
        <w:t>Comunicar la presente Resolución a la Junta Departamental, a la Intendencia de Río Negro y al Contador Del</w:t>
      </w:r>
      <w:r w:rsidR="0086026F">
        <w:t>egado en la Junta Departamental;</w:t>
      </w:r>
    </w:p>
    <w:p w:rsidR="00122D61" w:rsidRDefault="00122D61">
      <w:pPr>
        <w:numPr>
          <w:ilvl w:val="0"/>
          <w:numId w:val="1"/>
        </w:numPr>
        <w:spacing w:line="360" w:lineRule="auto"/>
        <w:jc w:val="both"/>
      </w:pPr>
      <w:r>
        <w:t>Dar cuenta a la Asamblea General.</w:t>
      </w:r>
    </w:p>
    <w:p w:rsidR="0086026F" w:rsidRDefault="0086026F" w:rsidP="0086026F">
      <w:pPr>
        <w:spacing w:line="360" w:lineRule="auto"/>
        <w:jc w:val="both"/>
      </w:pPr>
    </w:p>
    <w:p w:rsidR="00835F81" w:rsidRDefault="00835F81" w:rsidP="0086026F">
      <w:pPr>
        <w:spacing w:line="360" w:lineRule="auto"/>
        <w:jc w:val="both"/>
      </w:pPr>
    </w:p>
    <w:p w:rsidR="00835F81" w:rsidRDefault="00835F81">
      <w:pPr>
        <w:pStyle w:val="Ttulo1"/>
        <w:spacing w:line="360" w:lineRule="auto"/>
        <w:jc w:val="center"/>
      </w:pPr>
      <w:bookmarkStart w:id="1" w:name="_Toc267641741"/>
      <w:bookmarkStart w:id="2" w:name="_Toc356996995"/>
      <w:bookmarkStart w:id="3" w:name="_Toc71366619"/>
      <w:bookmarkStart w:id="4" w:name="_Toc76280777"/>
      <w:r>
        <w:t>DICTAMEN</w:t>
      </w:r>
      <w:bookmarkEnd w:id="1"/>
      <w:bookmarkEnd w:id="2"/>
    </w:p>
    <w:p w:rsidR="00835F81" w:rsidRDefault="00835F81"/>
    <w:bookmarkEnd w:id="3"/>
    <w:bookmarkEnd w:id="4"/>
    <w:p w:rsidR="00835F81" w:rsidRDefault="00835F81" w:rsidP="00835F81">
      <w:pPr>
        <w:pStyle w:val="Subttulo"/>
        <w:ind w:firstLine="851"/>
        <w:rPr>
          <w:rFonts w:ascii="Arial" w:hAnsi="Arial" w:cs="Arial"/>
          <w:b w:val="0"/>
          <w:bCs w:val="0"/>
        </w:rPr>
      </w:pPr>
      <w:r>
        <w:rPr>
          <w:rFonts w:ascii="Arial" w:hAnsi="Arial" w:cs="Arial"/>
          <w:b w:val="0"/>
          <w:bCs w:val="0"/>
        </w:rPr>
        <w:t xml:space="preserve">El Tribunal de Cuentas ha examinado la Rendición de Cuentas y el Balance de Ejecución Presupuestal de la Junta Departamental de Río Negro correspondiente al Ejercicio 2013, que incluye los siguientes estados: de ejecución presupuestal con relación a los créditos, de evolución de las obligaciones presupuestales impagas, de fondos indisponibles y otros estados complementarios. </w:t>
      </w:r>
    </w:p>
    <w:p w:rsidR="00835F81" w:rsidRDefault="00835F81" w:rsidP="00835F81">
      <w:pPr>
        <w:pStyle w:val="Subttulo"/>
        <w:ind w:firstLine="851"/>
        <w:rPr>
          <w:rFonts w:ascii="Arial" w:hAnsi="Arial" w:cs="Arial"/>
          <w:b w:val="0"/>
          <w:bCs w:val="0"/>
        </w:rPr>
      </w:pPr>
      <w:r>
        <w:rPr>
          <w:rFonts w:ascii="Arial" w:hAnsi="Arial" w:cs="Arial"/>
          <w:b w:val="0"/>
          <w:bCs w:val="0"/>
        </w:rPr>
        <w:t>El Tribunal de Cuentas también ha auditado el cumplimiento por parte de la Junta Departamental de la normativa vigente.</w:t>
      </w:r>
    </w:p>
    <w:p w:rsidR="00835F81" w:rsidRDefault="00835F81">
      <w:pPr>
        <w:pStyle w:val="Subttulo"/>
        <w:rPr>
          <w:rFonts w:ascii="Arial" w:hAnsi="Arial" w:cs="Arial"/>
          <w:b w:val="0"/>
          <w:bCs w:val="0"/>
        </w:rPr>
      </w:pPr>
    </w:p>
    <w:p w:rsidR="00835F81" w:rsidRDefault="00835F81">
      <w:pPr>
        <w:pStyle w:val="Subttulo"/>
        <w:rPr>
          <w:rFonts w:ascii="Arial" w:hAnsi="Arial" w:cs="Arial"/>
        </w:rPr>
      </w:pPr>
      <w:r>
        <w:rPr>
          <w:rFonts w:ascii="Arial" w:hAnsi="Arial" w:cs="Arial"/>
        </w:rPr>
        <w:t>Responsabilidad de la Junta Departamental</w:t>
      </w:r>
    </w:p>
    <w:p w:rsidR="00835F81" w:rsidRDefault="00835F81" w:rsidP="00835F81">
      <w:pPr>
        <w:pStyle w:val="Subttulo"/>
        <w:ind w:firstLine="851"/>
        <w:rPr>
          <w:rFonts w:ascii="Arial" w:hAnsi="Arial" w:cs="Arial"/>
          <w:b w:val="0"/>
          <w:bCs w:val="0"/>
        </w:rPr>
      </w:pPr>
      <w:r>
        <w:rPr>
          <w:rFonts w:ascii="Arial" w:hAnsi="Arial" w:cs="Arial"/>
          <w:b w:val="0"/>
          <w:bCs w:val="0"/>
        </w:rPr>
        <w:t xml:space="preserve">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 </w:t>
      </w:r>
    </w:p>
    <w:p w:rsidR="00835F81" w:rsidRDefault="00835F81">
      <w:pPr>
        <w:pStyle w:val="Subttulo"/>
        <w:rPr>
          <w:rFonts w:ascii="Arial" w:hAnsi="Arial" w:cs="Arial"/>
          <w:b w:val="0"/>
          <w:bCs w:val="0"/>
        </w:rPr>
      </w:pPr>
    </w:p>
    <w:p w:rsidR="00835F81" w:rsidRDefault="00835F81">
      <w:pPr>
        <w:pStyle w:val="Subttulo"/>
        <w:rPr>
          <w:rFonts w:ascii="Arial" w:hAnsi="Arial" w:cs="Arial"/>
        </w:rPr>
      </w:pPr>
      <w:r>
        <w:rPr>
          <w:rFonts w:ascii="Arial" w:hAnsi="Arial" w:cs="Arial"/>
        </w:rPr>
        <w:t>Responsabilidad del auditor</w:t>
      </w:r>
    </w:p>
    <w:p w:rsidR="00835F81" w:rsidRDefault="00835F81" w:rsidP="00835F81">
      <w:pPr>
        <w:pStyle w:val="Subttulo"/>
        <w:ind w:firstLine="851"/>
        <w:rPr>
          <w:rFonts w:ascii="Arial" w:hAnsi="Arial" w:cs="Arial"/>
          <w:b w:val="0"/>
          <w:bCs w:val="0"/>
        </w:rPr>
      </w:pPr>
      <w:r>
        <w:rPr>
          <w:rFonts w:ascii="Arial" w:hAnsi="Arial" w:cs="Arial"/>
          <w:b w:val="0"/>
          <w:bCs w:val="0"/>
        </w:rPr>
        <w:t xml:space="preserve">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 </w:t>
      </w:r>
    </w:p>
    <w:p w:rsidR="00835F81" w:rsidRDefault="00835F81" w:rsidP="00835F81">
      <w:pPr>
        <w:pStyle w:val="Subttulo"/>
        <w:ind w:firstLine="851"/>
        <w:rPr>
          <w:rFonts w:ascii="Arial" w:hAnsi="Arial" w:cs="Arial"/>
          <w:b w:val="0"/>
          <w:bCs w:val="0"/>
        </w:rPr>
      </w:pPr>
      <w:r>
        <w:rPr>
          <w:rFonts w:ascii="Arial" w:hAnsi="Arial" w:cs="Arial"/>
          <w:b w:val="0"/>
          <w:bCs w:val="0"/>
        </w:rPr>
        <w:t>Una Auditoría implica realizar procedimientos para obtener evidencia acerca de los montos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835F81" w:rsidRDefault="00835F81" w:rsidP="00835F81">
      <w:pPr>
        <w:pStyle w:val="Subttulo"/>
        <w:ind w:firstLine="851"/>
        <w:rPr>
          <w:rFonts w:ascii="Arial" w:hAnsi="Arial" w:cs="Arial"/>
          <w:b w:val="0"/>
          <w:bCs w:val="0"/>
        </w:rPr>
      </w:pPr>
      <w:r>
        <w:rPr>
          <w:rFonts w:ascii="Arial" w:hAnsi="Arial" w:cs="Arial"/>
          <w:b w:val="0"/>
          <w:bCs w:val="0"/>
        </w:rPr>
        <w:t>Se considera que la evidencia de Auditoría obtenida brinda una base suficiente y apropiada para sustentar la opinión.</w:t>
      </w:r>
    </w:p>
    <w:p w:rsidR="00835F81" w:rsidRDefault="00835F81">
      <w:pPr>
        <w:pStyle w:val="Subttulo"/>
        <w:rPr>
          <w:rFonts w:ascii="Arial" w:hAnsi="Arial" w:cs="Arial"/>
          <w:b w:val="0"/>
          <w:bCs w:val="0"/>
        </w:rPr>
      </w:pPr>
    </w:p>
    <w:p w:rsidR="00835F81" w:rsidRDefault="00835F81">
      <w:pPr>
        <w:pStyle w:val="Textoindependiente"/>
        <w:spacing w:after="0" w:line="360" w:lineRule="auto"/>
        <w:rPr>
          <w:b/>
          <w:bCs/>
          <w:kern w:val="0"/>
          <w:lang w:val="es-ES"/>
        </w:rPr>
      </w:pPr>
      <w:r>
        <w:rPr>
          <w:b/>
          <w:bCs/>
          <w:kern w:val="0"/>
          <w:lang w:val="es-ES"/>
        </w:rPr>
        <w:t>Opinión</w:t>
      </w:r>
    </w:p>
    <w:p w:rsidR="00835F81" w:rsidRDefault="00835F81" w:rsidP="00835F81">
      <w:pPr>
        <w:pStyle w:val="Textoindependiente"/>
        <w:spacing w:after="0" w:line="360" w:lineRule="auto"/>
        <w:ind w:firstLine="851"/>
        <w:rPr>
          <w:kern w:val="0"/>
          <w:lang w:val="es-ES"/>
        </w:rPr>
      </w:pPr>
      <w:r>
        <w:rPr>
          <w:kern w:val="0"/>
          <w:lang w:val="es-ES"/>
        </w:rPr>
        <w:t>En opinión del Tribunal de Cuentas, los estados mencionados presentan razonablemente, en todos sus aspectos importantes, la ejecución presupuestal del Ejercicio 2013, la evolución de las obligaciones presupuestales impagas y de los fondos indisponibles de acuerdo con las normas establecidas en el TOCAF y a la Resolución de este Tribunal de fecha 28/01/04.</w:t>
      </w:r>
    </w:p>
    <w:p w:rsidR="00835F81" w:rsidRDefault="00835F81" w:rsidP="00835F81">
      <w:pPr>
        <w:spacing w:line="360" w:lineRule="auto"/>
        <w:ind w:firstLine="851"/>
        <w:jc w:val="both"/>
      </w:pPr>
      <w:r>
        <w:rPr>
          <w:kern w:val="18"/>
          <w:lang w:val="es-ES_tradnl"/>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835F81" w:rsidRDefault="00835F81">
      <w:pPr>
        <w:spacing w:line="360" w:lineRule="auto"/>
        <w:jc w:val="both"/>
      </w:pPr>
    </w:p>
    <w:p w:rsidR="00835F81" w:rsidRDefault="00835F81">
      <w:pPr>
        <w:spacing w:line="360" w:lineRule="auto"/>
        <w:jc w:val="both"/>
        <w:rPr>
          <w:kern w:val="18"/>
          <w:lang w:val="es-ES_tradnl"/>
        </w:rPr>
      </w:pPr>
      <w:r>
        <w:rPr>
          <w:b/>
          <w:bCs/>
        </w:rPr>
        <w:t xml:space="preserve">Artículo 295 de la Constitución de la República y Resolución del Tribunal de Cuentas de 22/12/10: </w:t>
      </w:r>
      <w:r>
        <w:rPr>
          <w:kern w:val="18"/>
          <w:lang w:val="es-ES_tradnl"/>
        </w:rPr>
        <w:t>En el Ejercicio 2013 se abonaron partidas compensatorias de gastos a los Señores Ediles. Estas partidas fueron objeto de observación por este Tribunal en el Presupuesto Quinquenal 2011-2015. Esta observación no fue aceptada por la Junta Departamental, disponiendo el envío de los antecedentes a la Asamblea General (Artículo 225 de la Constitución de la República), la que no se expidió en plazo, por lo que las citadas partidas quedaron vigentes y se encuentran en ejecución.</w:t>
      </w:r>
    </w:p>
    <w:p w:rsidR="00835F81" w:rsidRDefault="00835F81">
      <w:pPr>
        <w:spacing w:line="360" w:lineRule="auto"/>
        <w:jc w:val="both"/>
        <w:rPr>
          <w:kern w:val="18"/>
          <w:lang w:val="es-ES_tradnl"/>
        </w:rPr>
      </w:pPr>
      <w:r>
        <w:rPr>
          <w:b/>
          <w:bCs/>
          <w:kern w:val="18"/>
          <w:lang w:val="es-ES_tradnl"/>
        </w:rPr>
        <w:t xml:space="preserve">Artículo 14 del TOCAF: </w:t>
      </w:r>
      <w:r>
        <w:rPr>
          <w:kern w:val="18"/>
          <w:lang w:val="es-ES_tradnl"/>
        </w:rPr>
        <w:t>Se efectuaron gastos que no fueron ordenados por autoridad competente.</w:t>
      </w:r>
    </w:p>
    <w:p w:rsidR="00835F81" w:rsidRDefault="00835F81">
      <w:pPr>
        <w:pStyle w:val="Lista"/>
        <w:tabs>
          <w:tab w:val="left" w:pos="360"/>
        </w:tabs>
        <w:ind w:left="0" w:firstLine="0"/>
      </w:pPr>
      <w:r>
        <w:rPr>
          <w:b/>
          <w:bCs/>
        </w:rPr>
        <w:t>Artículo 33 del TOCAF:</w:t>
      </w:r>
      <w:r>
        <w:t xml:space="preserve"> La Junta ha contratado en forma directa con empresas, no cumpliendo con los procedimientos establecidos en el TOCAF, lo cual no ha sido observado por el Contador Delegado de este Tribunal.</w:t>
      </w:r>
    </w:p>
    <w:p w:rsidR="00835F81" w:rsidRDefault="00835F81">
      <w:pPr>
        <w:pStyle w:val="Lista"/>
        <w:tabs>
          <w:tab w:val="left" w:pos="360"/>
        </w:tabs>
        <w:ind w:left="0" w:firstLine="0"/>
      </w:pPr>
      <w:r>
        <w:rPr>
          <w:b/>
          <w:bCs/>
        </w:rPr>
        <w:t>Artículos 84 y 97 del TOCAF:</w:t>
      </w:r>
      <w:r>
        <w:t xml:space="preserve"> </w:t>
      </w:r>
      <w:r>
        <w:rPr>
          <w:color w:val="000000"/>
        </w:rPr>
        <w:t>No existe un inventario valorizado actualizado de los bienes de uso propiedad de la Junta al 31/12/2013.</w:t>
      </w:r>
    </w:p>
    <w:p w:rsidR="00835F81" w:rsidRDefault="00835F81">
      <w:pPr>
        <w:spacing w:line="360" w:lineRule="auto"/>
        <w:jc w:val="both"/>
        <w:rPr>
          <w:kern w:val="18"/>
          <w:lang w:val="es-ES_tradnl"/>
        </w:rPr>
      </w:pPr>
      <w:r>
        <w:rPr>
          <w:b/>
          <w:bCs/>
        </w:rPr>
        <w:t xml:space="preserve">Artículo 102 del TOCAF (Numeral 3): </w:t>
      </w:r>
      <w:r>
        <w:t xml:space="preserve">Al momento de comprometer los gastos, no siempre se realiza la afectación previa de los objetos correspondientes. </w:t>
      </w:r>
    </w:p>
    <w:p w:rsidR="00835F81" w:rsidRDefault="00835F81">
      <w:pPr>
        <w:spacing w:line="360" w:lineRule="auto"/>
        <w:jc w:val="both"/>
      </w:pPr>
      <w:r>
        <w:rPr>
          <w:b/>
          <w:bCs/>
        </w:rPr>
        <w:t xml:space="preserve">Artículo 7 de la Ley N° 13.142, Artículo 1 del Decreto-Ley N° 14.632, Decreto 342/992: </w:t>
      </w:r>
      <w:r>
        <w:rPr>
          <w:kern w:val="18"/>
          <w:lang w:val="es-ES_tradnl"/>
        </w:rPr>
        <w:t>En oportunidad de efectuar los pagos de los compromisos contraídos, no se exige a la totalidad de los proveedores la presentación de los certificados de estar al día con el BPS y la DGI</w:t>
      </w:r>
      <w:r>
        <w:t>.</w:t>
      </w:r>
    </w:p>
    <w:p w:rsidR="00835F81" w:rsidRDefault="00835F81">
      <w:pPr>
        <w:spacing w:line="360" w:lineRule="auto"/>
        <w:jc w:val="both"/>
      </w:pPr>
      <w:r>
        <w:rPr>
          <w:b/>
          <w:bCs/>
        </w:rPr>
        <w:t>Ordenanza N° 81 del Tribunal de Cuentas:</w:t>
      </w:r>
      <w:r>
        <w:t xml:space="preserve"> No se presentaron los estados contables previstos en la citada norma.</w:t>
      </w:r>
    </w:p>
    <w:p w:rsidR="00835F81" w:rsidRDefault="00835F81">
      <w:pPr>
        <w:pStyle w:val="Textoindependiente3"/>
      </w:pPr>
      <w:r>
        <w:t>Montevideo, 4 de junio de 2014</w:t>
      </w:r>
    </w:p>
    <w:p w:rsidR="00835F81" w:rsidRDefault="00835F81">
      <w:pPr>
        <w:pStyle w:val="Textoindependiente3"/>
      </w:pPr>
    </w:p>
    <w:p w:rsidR="00835F81" w:rsidRDefault="00835F81"/>
    <w:p w:rsidR="00835F81" w:rsidRDefault="00835F81" w:rsidP="00835F81">
      <w:pPr>
        <w:pStyle w:val="Ttulo1"/>
        <w:spacing w:line="360" w:lineRule="auto"/>
        <w:jc w:val="center"/>
      </w:pPr>
      <w:bookmarkStart w:id="5" w:name="_Toc356996997"/>
      <w:bookmarkStart w:id="6" w:name="_Toc71366623"/>
      <w:bookmarkStart w:id="7" w:name="_Toc76280779"/>
      <w:r>
        <w:t>INFORME A LA ADMINISTRACIÓN</w:t>
      </w:r>
      <w:bookmarkEnd w:id="5"/>
      <w:bookmarkEnd w:id="6"/>
      <w:bookmarkEnd w:id="7"/>
    </w:p>
    <w:p w:rsidR="00835F81" w:rsidRDefault="00835F81" w:rsidP="00835F81"/>
    <w:p w:rsidR="00835F81" w:rsidRDefault="00835F81" w:rsidP="00835F81">
      <w:pPr>
        <w:pStyle w:val="Textoindependiente"/>
        <w:spacing w:after="0" w:line="360" w:lineRule="auto"/>
        <w:ind w:firstLine="851"/>
      </w:pPr>
      <w:r>
        <w:t>El Tribunal de Cuentas ha examinado la Rendición de Cuentas y Balance de Ejecución Presupuestal correspondiente al Ejercicio 2013 y ha emitido su correspondiente Dictamen.</w:t>
      </w:r>
    </w:p>
    <w:p w:rsidR="00835F81" w:rsidRDefault="00835F81" w:rsidP="00835F81">
      <w:pPr>
        <w:pStyle w:val="Textoindependiente"/>
        <w:spacing w:after="0" w:line="360" w:lineRule="auto"/>
        <w:ind w:firstLine="851"/>
      </w:pPr>
      <w:r>
        <w:t>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835F81" w:rsidRDefault="00835F81" w:rsidP="00835F81">
      <w:pPr>
        <w:pStyle w:val="Textoindependiente2"/>
        <w:jc w:val="both"/>
        <w:rPr>
          <w:rFonts w:ascii="Arial" w:hAnsi="Arial" w:cs="Arial"/>
        </w:rPr>
      </w:pPr>
    </w:p>
    <w:p w:rsidR="00835F81" w:rsidRDefault="00835F81" w:rsidP="00835F81">
      <w:pPr>
        <w:pStyle w:val="Ttulo2"/>
        <w:ind w:left="142" w:hanging="142"/>
      </w:pPr>
      <w:bookmarkStart w:id="8" w:name="_Toc356996998"/>
      <w:r>
        <w:t>3.1 Situación en materia de fondos</w:t>
      </w:r>
      <w:bookmarkEnd w:id="8"/>
    </w:p>
    <w:p w:rsidR="00835F81" w:rsidRDefault="00835F81" w:rsidP="00835F81">
      <w:pPr>
        <w:pStyle w:val="Textoindependiente"/>
        <w:spacing w:line="360" w:lineRule="auto"/>
        <w:ind w:firstLine="851"/>
        <w:rPr>
          <w:kern w:val="0"/>
          <w:lang w:val="es-ES"/>
        </w:rPr>
      </w:pPr>
      <w:r>
        <w:rPr>
          <w:kern w:val="0"/>
          <w:lang w:val="es-ES"/>
        </w:rPr>
        <w:t>En base a los estados incluidos en la Rendición de Cuentas se elaboró un resumen de la situación en materia de fondos de la Junta Departamental con relación a la Intendencia al 31/12/13, en pesos uruguayos:</w:t>
      </w:r>
    </w:p>
    <w:tbl>
      <w:tblPr>
        <w:tblW w:w="7200" w:type="dxa"/>
        <w:tblInd w:w="2" w:type="dxa"/>
        <w:tblLayout w:type="fixed"/>
        <w:tblCellMar>
          <w:left w:w="0" w:type="dxa"/>
          <w:right w:w="0" w:type="dxa"/>
        </w:tblCellMar>
        <w:tblLook w:val="0000" w:firstRow="0" w:lastRow="0" w:firstColumn="0" w:lastColumn="0" w:noHBand="0" w:noVBand="0"/>
      </w:tblPr>
      <w:tblGrid>
        <w:gridCol w:w="4425"/>
        <w:gridCol w:w="1520"/>
        <w:gridCol w:w="1255"/>
      </w:tblGrid>
      <w:tr w:rsidR="00835F81" w:rsidTr="00835F81">
        <w:trPr>
          <w:trHeight w:val="300"/>
        </w:trPr>
        <w:tc>
          <w:tcPr>
            <w:tcW w:w="442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r>
              <w:t>Disponibilidades</w:t>
            </w:r>
          </w:p>
        </w:tc>
        <w:tc>
          <w:tcPr>
            <w:tcW w:w="1520"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p>
        </w:tc>
        <w:tc>
          <w:tcPr>
            <w:tcW w:w="125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r>
              <w:t xml:space="preserve"> 3.112.703 </w:t>
            </w:r>
          </w:p>
        </w:tc>
      </w:tr>
      <w:tr w:rsidR="00835F81" w:rsidTr="00835F81">
        <w:trPr>
          <w:trHeight w:val="300"/>
        </w:trPr>
        <w:tc>
          <w:tcPr>
            <w:tcW w:w="442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r>
              <w:t>Menos:</w:t>
            </w:r>
          </w:p>
        </w:tc>
        <w:tc>
          <w:tcPr>
            <w:tcW w:w="1520"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p>
        </w:tc>
        <w:tc>
          <w:tcPr>
            <w:tcW w:w="125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p>
        </w:tc>
      </w:tr>
      <w:tr w:rsidR="00835F81" w:rsidTr="00835F81">
        <w:trPr>
          <w:trHeight w:val="300"/>
        </w:trPr>
        <w:tc>
          <w:tcPr>
            <w:tcW w:w="442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r>
              <w:t>Obligaciones presupuestales impagas</w:t>
            </w:r>
          </w:p>
        </w:tc>
        <w:tc>
          <w:tcPr>
            <w:tcW w:w="1520"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r>
              <w:t xml:space="preserve">     488.286   </w:t>
            </w:r>
          </w:p>
        </w:tc>
        <w:tc>
          <w:tcPr>
            <w:tcW w:w="125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p>
        </w:tc>
      </w:tr>
      <w:tr w:rsidR="00835F81" w:rsidTr="00835F81">
        <w:trPr>
          <w:trHeight w:val="345"/>
        </w:trPr>
        <w:tc>
          <w:tcPr>
            <w:tcW w:w="442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r>
              <w:t>Indisponibles</w:t>
            </w:r>
          </w:p>
        </w:tc>
        <w:tc>
          <w:tcPr>
            <w:tcW w:w="1520"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u w:val="single"/>
              </w:rPr>
            </w:pPr>
            <w:r>
              <w:rPr>
                <w:u w:val="single"/>
              </w:rPr>
              <w:t xml:space="preserve">     465.294   </w:t>
            </w:r>
          </w:p>
        </w:tc>
        <w:tc>
          <w:tcPr>
            <w:tcW w:w="125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u w:val="single"/>
              </w:rPr>
            </w:pPr>
            <w:r>
              <w:rPr>
                <w:u w:val="single"/>
              </w:rPr>
              <w:t xml:space="preserve">    953.580 </w:t>
            </w:r>
          </w:p>
        </w:tc>
      </w:tr>
      <w:tr w:rsidR="00835F81" w:rsidTr="00835F81">
        <w:trPr>
          <w:trHeight w:val="315"/>
        </w:trPr>
        <w:tc>
          <w:tcPr>
            <w:tcW w:w="442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r>
              <w:t>Saldo a favor de la Intendencia</w:t>
            </w:r>
          </w:p>
        </w:tc>
        <w:tc>
          <w:tcPr>
            <w:tcW w:w="1520"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p>
        </w:tc>
        <w:tc>
          <w:tcPr>
            <w:tcW w:w="1255" w:type="dxa"/>
            <w:tcBorders>
              <w:top w:val="nil"/>
              <w:left w:val="nil"/>
              <w:bottom w:val="double" w:sz="6" w:space="0" w:color="auto"/>
              <w:right w:val="nil"/>
            </w:tcBorders>
            <w:noWrap/>
            <w:tcMar>
              <w:top w:w="15" w:type="dxa"/>
              <w:left w:w="15" w:type="dxa"/>
              <w:bottom w:w="0" w:type="dxa"/>
              <w:right w:w="15" w:type="dxa"/>
            </w:tcMar>
            <w:vAlign w:val="bottom"/>
          </w:tcPr>
          <w:p w:rsidR="00835F81" w:rsidRDefault="00835F81" w:rsidP="00835F81">
            <w:pPr>
              <w:rPr>
                <w:rFonts w:eastAsia="Arial Unicode MS"/>
              </w:rPr>
            </w:pPr>
            <w:r>
              <w:t xml:space="preserve"> 2.159.123 </w:t>
            </w:r>
          </w:p>
        </w:tc>
      </w:tr>
      <w:tr w:rsidR="00835F81" w:rsidTr="00835F81">
        <w:trPr>
          <w:trHeight w:val="270"/>
        </w:trPr>
        <w:tc>
          <w:tcPr>
            <w:tcW w:w="442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p>
        </w:tc>
        <w:tc>
          <w:tcPr>
            <w:tcW w:w="1520"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p>
        </w:tc>
        <w:tc>
          <w:tcPr>
            <w:tcW w:w="1255" w:type="dxa"/>
            <w:tcBorders>
              <w:top w:val="nil"/>
              <w:left w:val="nil"/>
              <w:bottom w:val="nil"/>
              <w:right w:val="nil"/>
            </w:tcBorders>
            <w:noWrap/>
            <w:tcMar>
              <w:top w:w="15" w:type="dxa"/>
              <w:left w:w="15" w:type="dxa"/>
              <w:bottom w:w="0" w:type="dxa"/>
              <w:right w:w="15" w:type="dxa"/>
            </w:tcMar>
            <w:vAlign w:val="bottom"/>
          </w:tcPr>
          <w:p w:rsidR="00835F81" w:rsidRDefault="00835F81" w:rsidP="00835F81">
            <w:pPr>
              <w:rPr>
                <w:rFonts w:eastAsia="Arial Unicode MS"/>
              </w:rPr>
            </w:pPr>
          </w:p>
        </w:tc>
      </w:tr>
    </w:tbl>
    <w:p w:rsidR="00835F81" w:rsidRDefault="00835F81" w:rsidP="00835F81">
      <w:pPr>
        <w:pStyle w:val="Textoindependiente"/>
        <w:spacing w:line="360" w:lineRule="auto"/>
        <w:rPr>
          <w:kern w:val="0"/>
          <w:lang w:val="es-ES"/>
        </w:rPr>
      </w:pPr>
    </w:p>
    <w:p w:rsidR="00835F81" w:rsidRDefault="00835F81" w:rsidP="00835F81">
      <w:pPr>
        <w:pStyle w:val="Ttulo2"/>
        <w:ind w:left="142" w:hanging="142"/>
      </w:pPr>
      <w:bookmarkStart w:id="9" w:name="_Toc267641751"/>
      <w:bookmarkStart w:id="10" w:name="_Toc356996999"/>
      <w:r>
        <w:t>3.2 Incumplimiento de normas legales</w:t>
      </w:r>
      <w:bookmarkEnd w:id="9"/>
      <w:bookmarkEnd w:id="10"/>
    </w:p>
    <w:p w:rsidR="00835F81" w:rsidRDefault="00835F81" w:rsidP="00835F81">
      <w:pPr>
        <w:pStyle w:val="Textoindependiente"/>
        <w:spacing w:after="0" w:line="360" w:lineRule="auto"/>
        <w:ind w:firstLine="851"/>
        <w:rPr>
          <w:lang w:val="es-ES"/>
        </w:rPr>
      </w:pPr>
      <w:r>
        <w:t>Con relación al incumplimiento de las normas aplicables, corresponde realizar las siguientes precisiones:</w:t>
      </w:r>
    </w:p>
    <w:p w:rsidR="00835F81" w:rsidRDefault="00835F81" w:rsidP="00835F81">
      <w:pPr>
        <w:pStyle w:val="Textoindependiente"/>
        <w:spacing w:after="0" w:line="360" w:lineRule="auto"/>
      </w:pPr>
      <w:r>
        <w:t xml:space="preserve"> </w:t>
      </w:r>
    </w:p>
    <w:p w:rsidR="00835F81" w:rsidRDefault="00835F81" w:rsidP="00835F81">
      <w:pPr>
        <w:pStyle w:val="Textoindependiente"/>
        <w:rPr>
          <w:b/>
          <w:bCs/>
        </w:rPr>
      </w:pPr>
      <w:bookmarkStart w:id="11" w:name="_Toc267581047"/>
      <w:bookmarkStart w:id="12" w:name="_Toc267641752"/>
      <w:r>
        <w:rPr>
          <w:b/>
          <w:bCs/>
        </w:rPr>
        <w:t>3.2.1 Partidas compensatorias por gastos de los Señores Ediles</w:t>
      </w:r>
      <w:bookmarkEnd w:id="11"/>
      <w:bookmarkEnd w:id="12"/>
      <w:r>
        <w:rPr>
          <w:b/>
          <w:bCs/>
        </w:rPr>
        <w:t xml:space="preserve"> </w:t>
      </w:r>
    </w:p>
    <w:p w:rsidR="00835F81" w:rsidRDefault="00835F81" w:rsidP="00835F81">
      <w:pPr>
        <w:spacing w:line="360" w:lineRule="auto"/>
        <w:ind w:firstLine="851"/>
        <w:jc w:val="both"/>
      </w:pPr>
      <w:r>
        <w:rPr>
          <w:kern w:val="18"/>
          <w:lang w:val="es-ES_tradnl"/>
        </w:rPr>
        <w:t>En el Ejercicio 2013 se abonaron partidas compensatorias de gastos a los Señores Ediles. Estas partidas fueron objeto de observación por este Tribunal en el Presupuesto Quinquenal 2011-2015. La existencia de estas partidas contraviene lo dispuesto por el Artículo 295 de la Constitución de la República que dispone que “los cargos de los miembros de las Juntas Departamentales y Locales serán honorarios</w:t>
      </w:r>
      <w:r>
        <w:t xml:space="preserve">”. Esta observación no se aceptó, remitiendo los antecedentes a la Asamblea General, la que no se expidió en plazo. </w:t>
      </w:r>
    </w:p>
    <w:p w:rsidR="00835F81" w:rsidRDefault="00835F81" w:rsidP="00835F81">
      <w:pPr>
        <w:pStyle w:val="Textoindependiente"/>
        <w:spacing w:after="0" w:line="360" w:lineRule="auto"/>
      </w:pPr>
      <w:r>
        <w:t>En el ejercicio se ejecutaron las mencionadas partidas.</w:t>
      </w:r>
    </w:p>
    <w:p w:rsidR="00835F81" w:rsidRDefault="00835F81" w:rsidP="00835F81">
      <w:pPr>
        <w:pStyle w:val="Textoindependiente"/>
        <w:spacing w:after="0" w:line="360" w:lineRule="auto"/>
      </w:pPr>
    </w:p>
    <w:p w:rsidR="00835F81" w:rsidRDefault="00835F81" w:rsidP="00835F81">
      <w:pPr>
        <w:pStyle w:val="Ttulo2"/>
      </w:pPr>
      <w:bookmarkStart w:id="13" w:name="_Toc356997000"/>
      <w:r>
        <w:t>3.3 Constatación que no afecta la opinión de los Estados Contables</w:t>
      </w:r>
      <w:bookmarkStart w:id="14" w:name="_Toc356997001"/>
      <w:bookmarkEnd w:id="13"/>
      <w:r>
        <w:t xml:space="preserve"> Saldos de Indisponibles </w:t>
      </w:r>
      <w:bookmarkEnd w:id="14"/>
    </w:p>
    <w:p w:rsidR="00835F81" w:rsidRDefault="00835F81" w:rsidP="00835F81">
      <w:pPr>
        <w:spacing w:after="240" w:line="360" w:lineRule="auto"/>
        <w:ind w:firstLine="851"/>
        <w:jc w:val="both"/>
        <w:rPr>
          <w:kern w:val="18"/>
        </w:rPr>
      </w:pPr>
      <w:r>
        <w:rPr>
          <w:kern w:val="18"/>
        </w:rPr>
        <w:t xml:space="preserve">Los saldos por concepto de Montepío e IRPF incluidos en el Cuadro de Evolución de Indisponibles, no coinciden con los que aparecen en el boleto de pago al BPS correspondiente al mes de diciembre de 2013. </w:t>
      </w:r>
    </w:p>
    <w:p w:rsidR="00835F81" w:rsidRDefault="00835F81" w:rsidP="00835F81">
      <w:pPr>
        <w:pStyle w:val="Ttulo2"/>
      </w:pPr>
      <w:bookmarkStart w:id="15" w:name="_Toc270417633"/>
      <w:bookmarkStart w:id="16" w:name="_Toc356997003"/>
      <w:r>
        <w:t>3.4 Recomendaciones</w:t>
      </w:r>
      <w:bookmarkEnd w:id="15"/>
      <w:bookmarkEnd w:id="16"/>
    </w:p>
    <w:p w:rsidR="005C6A6A" w:rsidRPr="005C6A6A" w:rsidRDefault="005C6A6A" w:rsidP="005C6A6A">
      <w:pPr>
        <w:pStyle w:val="Textoindependiente"/>
        <w:rPr>
          <w:lang w:val="es-ES"/>
        </w:rPr>
      </w:pPr>
    </w:p>
    <w:p w:rsidR="00835F81" w:rsidRDefault="00835F81" w:rsidP="00835F81">
      <w:pPr>
        <w:pStyle w:val="Ttulo2"/>
      </w:pPr>
      <w:bookmarkStart w:id="17" w:name="_Toc270417634"/>
      <w:bookmarkStart w:id="18" w:name="_Toc356997006"/>
      <w:r>
        <w:t>3.4.1 Recomendaciones del ejercicio anterior no cumplidas</w:t>
      </w:r>
      <w:bookmarkEnd w:id="17"/>
      <w:bookmarkEnd w:id="18"/>
    </w:p>
    <w:p w:rsidR="00835F81" w:rsidRDefault="00835F81" w:rsidP="00835F81">
      <w:pPr>
        <w:pStyle w:val="Ttulo2"/>
      </w:pPr>
      <w:bookmarkStart w:id="19" w:name="_Toc270417635"/>
      <w:bookmarkStart w:id="20" w:name="_Toc356997007"/>
      <w:r>
        <w:t>3.4.1.1 Partidas percibidas por los Señores Ediles</w:t>
      </w:r>
      <w:bookmarkEnd w:id="19"/>
      <w:bookmarkEnd w:id="20"/>
    </w:p>
    <w:p w:rsidR="00835F81" w:rsidRDefault="00835F81" w:rsidP="00835F81">
      <w:pPr>
        <w:pStyle w:val="Textoindependiente"/>
        <w:spacing w:after="0" w:line="360" w:lineRule="auto"/>
        <w:ind w:firstLine="851"/>
        <w:rPr>
          <w:kern w:val="0"/>
          <w:lang w:val="es-ES"/>
        </w:rPr>
      </w:pPr>
      <w:r>
        <w:rPr>
          <w:kern w:val="0"/>
          <w:lang w:val="es-ES"/>
        </w:rPr>
        <w:t>A efectos de verificar el cumplimiento de lo preceptuado por el Artículo 295 de la Constitución de la República, en cuanto al carácter honorario de la función de Edil, la Junta Departamental deberá ajustar su reglamentación a lo dispuesto por la Resolución de este Tribunal de 22/12/2010.</w:t>
      </w:r>
    </w:p>
    <w:p w:rsidR="00835F81" w:rsidRDefault="00835F81" w:rsidP="00835F81">
      <w:pPr>
        <w:pStyle w:val="Ttulo2"/>
      </w:pPr>
      <w:bookmarkStart w:id="21" w:name="_Toc356997008"/>
      <w:r>
        <w:t>3.4.1.2 Certificados de estar al día con el BPS y la DGI</w:t>
      </w:r>
      <w:bookmarkEnd w:id="21"/>
    </w:p>
    <w:p w:rsidR="00835F81" w:rsidRDefault="00835F81" w:rsidP="00835F81">
      <w:pPr>
        <w:pStyle w:val="Textoindependiente"/>
        <w:spacing w:after="0" w:line="360" w:lineRule="auto"/>
        <w:ind w:firstLine="851"/>
        <w:rPr>
          <w:kern w:val="0"/>
          <w:lang w:val="es-ES"/>
        </w:rPr>
      </w:pPr>
      <w:r>
        <w:rPr>
          <w:kern w:val="0"/>
          <w:lang w:val="es-ES"/>
        </w:rPr>
        <w:t>En oportunidad de efectuar los pagos a proveedores se deberá verificar el cumplimiento de lo establecido en el Decreto N° 342/992, que reglamenta lo dispuesto por el Artículo 7 de la Ley N° 13.142 de 04/07/1963 y el Artículo 1 del Decreto-Ley N° 14.632 de 24/03/1977, en cuanto a la presentación de los certificados que acrediten que se encuentran al día con el pago de sus obligaciones correspondientes al BPS y la DGI.</w:t>
      </w:r>
    </w:p>
    <w:p w:rsidR="00835F81" w:rsidRDefault="00835F81" w:rsidP="00835F81">
      <w:pPr>
        <w:pStyle w:val="Ttulo2"/>
      </w:pPr>
      <w:bookmarkStart w:id="22" w:name="_Toc356997009"/>
      <w:r>
        <w:t>3.4.1.3 Ordenanza N° 81 del Tribunal de Cuentas</w:t>
      </w:r>
      <w:bookmarkEnd w:id="22"/>
    </w:p>
    <w:p w:rsidR="00835F81" w:rsidRDefault="00835F81" w:rsidP="00835F81">
      <w:pPr>
        <w:pStyle w:val="Textoindependiente"/>
        <w:spacing w:after="0" w:line="360" w:lineRule="auto"/>
        <w:ind w:firstLine="851"/>
      </w:pPr>
      <w:r>
        <w:t>De acuerdo con lo establecido en la Ordenanza N° 81 de este Tribunal, la Junta Departamental deberá presentar los estados contables establecidos en el Artículo 13 de la citada norma.</w:t>
      </w:r>
    </w:p>
    <w:p w:rsidR="00835F81" w:rsidRDefault="00835F81" w:rsidP="00835F81">
      <w:pPr>
        <w:pStyle w:val="Ttulo2"/>
      </w:pPr>
      <w:r>
        <w:t>3.4.1.4</w:t>
      </w:r>
      <w:r>
        <w:rPr>
          <w:b w:val="0"/>
          <w:bCs w:val="0"/>
        </w:rPr>
        <w:t xml:space="preserve"> </w:t>
      </w:r>
      <w:r>
        <w:t>Proceso del gasto</w:t>
      </w:r>
    </w:p>
    <w:p w:rsidR="00835F81" w:rsidRDefault="00835F81" w:rsidP="00835F81">
      <w:pPr>
        <w:spacing w:line="360" w:lineRule="auto"/>
        <w:ind w:firstLine="851"/>
        <w:jc w:val="both"/>
        <w:rPr>
          <w:kern w:val="18"/>
        </w:rPr>
      </w:pPr>
      <w:r>
        <w:rPr>
          <w:kern w:val="18"/>
        </w:rPr>
        <w:t>A efectos de dar cumplimiento a los Artículos 14 y 102 del TOCAF los gastos deben ser ordenados por autoridad competente, debiendo contar con información respecto a la disponibilidad presupues</w:t>
      </w:r>
      <w:r w:rsidR="00304952">
        <w:rPr>
          <w:kern w:val="18"/>
        </w:rPr>
        <w:t>tal del Objeto correspondiente.</w:t>
      </w:r>
    </w:p>
    <w:p w:rsidR="00304952" w:rsidRDefault="00304952" w:rsidP="00835F81">
      <w:pPr>
        <w:spacing w:line="360" w:lineRule="auto"/>
        <w:ind w:firstLine="851"/>
        <w:jc w:val="both"/>
      </w:pPr>
    </w:p>
    <w:p w:rsidR="00835F81" w:rsidRDefault="00835F81" w:rsidP="00835F81">
      <w:pPr>
        <w:pStyle w:val="Ttulo2"/>
        <w:ind w:left="142" w:hanging="142"/>
      </w:pPr>
      <w:bookmarkStart w:id="23" w:name="_Toc270417636"/>
      <w:bookmarkStart w:id="24" w:name="_Toc356997010"/>
      <w:bookmarkStart w:id="25" w:name="_Toc71366624"/>
      <w:r>
        <w:t>3.4.2  Recomendaciones del Ejercicio</w:t>
      </w:r>
      <w:bookmarkEnd w:id="23"/>
      <w:bookmarkEnd w:id="24"/>
    </w:p>
    <w:p w:rsidR="00835F81" w:rsidRDefault="00835F81" w:rsidP="00835F81">
      <w:pPr>
        <w:pStyle w:val="Textoindependiente"/>
        <w:spacing w:after="0" w:line="360" w:lineRule="auto"/>
        <w:ind w:firstLine="851"/>
        <w:rPr>
          <w:lang w:val="es-ES"/>
        </w:rPr>
      </w:pPr>
      <w:r>
        <w:rPr>
          <w:lang w:val="es-ES"/>
        </w:rPr>
        <w:t>Se reiteran las recomendaciones del Apartado 3.4.1 y se agregan las siguientes:</w:t>
      </w:r>
    </w:p>
    <w:p w:rsidR="00835F81" w:rsidRDefault="00835F81" w:rsidP="00835F81">
      <w:pPr>
        <w:pStyle w:val="Ttulo2"/>
      </w:pPr>
      <w:r>
        <w:t>3.</w:t>
      </w:r>
      <w:r w:rsidR="00304952">
        <w:t>4.2.1 Fraccionamiento del gasto</w:t>
      </w:r>
    </w:p>
    <w:p w:rsidR="00835F81" w:rsidRDefault="00835F81" w:rsidP="00835F81">
      <w:pPr>
        <w:pStyle w:val="Textoindependiente"/>
        <w:spacing w:after="0" w:line="360" w:lineRule="auto"/>
        <w:ind w:firstLine="851"/>
      </w:pPr>
      <w:r>
        <w:t>A los efectos de dar cumplimiento a lo dispuesto por el Artículo 43 del TOCAF, es conveniente que la Junta planifique sus compras y los requerimientos de servicios, en lo posible anualmente, de forma de realizar las contrataciones por grupo de artículos o servicios de un mismo ramo o comercio, teniendo en cuenta el procedimiento de contratación que correspon</w:t>
      </w:r>
      <w:r>
        <w:softHyphen/>
        <w:t xml:space="preserve">diere de acuerdo con lo establecido en el Artículo 33 del TOCAF.    </w:t>
      </w:r>
    </w:p>
    <w:p w:rsidR="00835F81" w:rsidRDefault="00835F81" w:rsidP="00835F81">
      <w:pPr>
        <w:pStyle w:val="Ttulo2"/>
      </w:pPr>
      <w:r>
        <w:t>3.4.2.2 Saldos de Indisponibles</w:t>
      </w:r>
    </w:p>
    <w:p w:rsidR="00835F81" w:rsidRDefault="00835F81" w:rsidP="00835F81">
      <w:pPr>
        <w:spacing w:after="240" w:line="360" w:lineRule="auto"/>
        <w:ind w:firstLine="851"/>
        <w:jc w:val="both"/>
        <w:rPr>
          <w:kern w:val="18"/>
        </w:rPr>
      </w:pPr>
      <w:r>
        <w:rPr>
          <w:kern w:val="18"/>
        </w:rPr>
        <w:t xml:space="preserve">En virtud de que los saldos por concepto de Montepío e IRPF incluidos en el Cuadro de Evolución de Indisponibles, no coinciden con los que resultan del boleto de pago al BPS, correspondiente al mes de diciembre de 2013, se deberá efectuar un análisis de dichas diferencias y realizar un ajuste contable si correspondiera. </w:t>
      </w:r>
    </w:p>
    <w:bookmarkEnd w:id="25"/>
    <w:p w:rsidR="00835F81" w:rsidRDefault="00835F81" w:rsidP="00835F81">
      <w:pPr>
        <w:pStyle w:val="Textoindependiente"/>
        <w:spacing w:after="0" w:line="360" w:lineRule="auto"/>
        <w:jc w:val="right"/>
      </w:pPr>
      <w:r>
        <w:t>Montevideo, 4 de junio de 2014</w:t>
      </w:r>
    </w:p>
    <w:p w:rsidR="00835F81" w:rsidRDefault="00835F81" w:rsidP="00835F81">
      <w:pPr>
        <w:pStyle w:val="Textoindependiente"/>
        <w:spacing w:after="0" w:line="360" w:lineRule="auto"/>
        <w:ind w:hanging="426"/>
        <w:jc w:val="left"/>
      </w:pPr>
      <w:proofErr w:type="gramStart"/>
      <w:r>
        <w:t>dc</w:t>
      </w:r>
      <w:bookmarkStart w:id="26" w:name="_GoBack"/>
      <w:bookmarkEnd w:id="26"/>
      <w:proofErr w:type="gramEnd"/>
    </w:p>
    <w:sectPr w:rsidR="00835F81" w:rsidSect="0086026F">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42CC1896"/>
    <w:lvl w:ilvl="0">
      <w:start w:val="1"/>
      <w:numFmt w:val="decimal"/>
      <w:lvlText w:val="%1)"/>
      <w:lvlJc w:val="left"/>
      <w:pPr>
        <w:tabs>
          <w:tab w:val="num" w:pos="360"/>
        </w:tabs>
        <w:ind w:left="360" w:hanging="360"/>
      </w:pPr>
      <w:rPr>
        <w:rFonts w:ascii="Arial" w:hAnsi="Arial" w:cs="Arial"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1"/>
    <w:rsid w:val="00122D61"/>
    <w:rsid w:val="00304952"/>
    <w:rsid w:val="005C6A6A"/>
    <w:rsid w:val="00835F81"/>
    <w:rsid w:val="0086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rsid w:val="00835F81"/>
    <w:pPr>
      <w:keepNext/>
      <w:spacing w:before="240" w:after="60"/>
      <w:outlineLvl w:val="0"/>
    </w:pPr>
    <w:rPr>
      <w:b/>
      <w:bCs/>
      <w:kern w:val="32"/>
    </w:rPr>
  </w:style>
  <w:style w:type="paragraph" w:styleId="Ttulo2">
    <w:name w:val="heading 2"/>
    <w:basedOn w:val="Normal"/>
    <w:next w:val="Textoindependiente"/>
    <w:link w:val="Ttulo2Car"/>
    <w:uiPriority w:val="99"/>
    <w:qFormat/>
    <w:rsid w:val="00835F81"/>
    <w:pPr>
      <w:spacing w:line="360" w:lineRule="auto"/>
      <w:jc w:val="both"/>
      <w:outlineLvl w:val="1"/>
    </w:pPr>
    <w:rPr>
      <w:b/>
      <w:bCs/>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240" w:line="240" w:lineRule="atLeast"/>
      <w:jc w:val="both"/>
    </w:pPr>
    <w:rPr>
      <w:kern w:val="18"/>
      <w:lang w:val="es-ES_tradnl"/>
    </w:rPr>
  </w:style>
  <w:style w:type="character" w:customStyle="1" w:styleId="TextoindependienteCar">
    <w:name w:val="Texto independiente Car"/>
    <w:basedOn w:val="Fuentedeprrafopredeter"/>
    <w:link w:val="Textoindependiente"/>
    <w:uiPriority w:val="99"/>
    <w:rPr>
      <w:rFonts w:ascii="Arial" w:hAnsi="Arial" w:cs="Arial"/>
      <w:kern w:val="18"/>
      <w:sz w:val="20"/>
      <w:szCs w:val="20"/>
      <w:lang w:val="es-ES_tradnl" w:eastAsia="es-ES"/>
    </w:rPr>
  </w:style>
  <w:style w:type="paragraph" w:styleId="Textoindependiente3">
    <w:name w:val="Body Text 3"/>
    <w:basedOn w:val="Normal"/>
    <w:link w:val="Textoindependiente3Car"/>
    <w:uiPriority w:val="99"/>
    <w:pPr>
      <w:spacing w:line="360" w:lineRule="auto"/>
      <w:jc w:val="right"/>
    </w:pPr>
  </w:style>
  <w:style w:type="character" w:customStyle="1" w:styleId="Textoindependiente3Car">
    <w:name w:val="Texto independiente 3 Car"/>
    <w:basedOn w:val="Fuentedeprrafopredeter"/>
    <w:link w:val="Textoindependiente3"/>
    <w:uiPriority w:val="99"/>
    <w:rPr>
      <w:rFonts w:ascii="Arial" w:hAnsi="Arial" w:cs="Arial"/>
      <w:sz w:val="24"/>
      <w:szCs w:val="24"/>
      <w:lang w:val="es-ES" w:eastAsia="es-ES"/>
    </w:rPr>
  </w:style>
  <w:style w:type="character" w:customStyle="1" w:styleId="Ttulo1Car">
    <w:name w:val="Título 1 Car"/>
    <w:basedOn w:val="Fuentedeprrafopredeter"/>
    <w:link w:val="Ttulo1"/>
    <w:uiPriority w:val="99"/>
    <w:rsid w:val="00835F81"/>
    <w:rPr>
      <w:rFonts w:ascii="Arial" w:hAnsi="Arial" w:cs="Arial"/>
      <w:b/>
      <w:bCs/>
      <w:kern w:val="32"/>
      <w:sz w:val="24"/>
      <w:szCs w:val="24"/>
      <w:lang w:val="es-ES" w:eastAsia="es-ES"/>
    </w:rPr>
  </w:style>
  <w:style w:type="paragraph" w:styleId="Subttulo">
    <w:name w:val="Subtitle"/>
    <w:basedOn w:val="Normal"/>
    <w:link w:val="SubttuloCar"/>
    <w:uiPriority w:val="99"/>
    <w:qFormat/>
    <w:rsid w:val="00835F81"/>
    <w:pPr>
      <w:spacing w:line="360" w:lineRule="auto"/>
      <w:jc w:val="both"/>
    </w:pPr>
    <w:rPr>
      <w:rFonts w:ascii="Bookman Old Style" w:hAnsi="Bookman Old Style" w:cs="Bookman Old Style"/>
      <w:b/>
      <w:bCs/>
      <w:kern w:val="18"/>
    </w:rPr>
  </w:style>
  <w:style w:type="character" w:customStyle="1" w:styleId="SubttuloCar">
    <w:name w:val="Subtítulo Car"/>
    <w:basedOn w:val="Fuentedeprrafopredeter"/>
    <w:link w:val="Subttulo"/>
    <w:uiPriority w:val="99"/>
    <w:rsid w:val="00835F81"/>
    <w:rPr>
      <w:rFonts w:ascii="Bookman Old Style" w:hAnsi="Bookman Old Style" w:cs="Bookman Old Style"/>
      <w:b/>
      <w:bCs/>
      <w:kern w:val="18"/>
      <w:sz w:val="24"/>
      <w:szCs w:val="24"/>
      <w:lang w:val="es-ES" w:eastAsia="es-ES"/>
    </w:rPr>
  </w:style>
  <w:style w:type="paragraph" w:styleId="Lista">
    <w:name w:val="List"/>
    <w:basedOn w:val="Normal"/>
    <w:uiPriority w:val="99"/>
    <w:rsid w:val="00835F81"/>
    <w:pPr>
      <w:spacing w:line="360" w:lineRule="auto"/>
      <w:ind w:left="283" w:hanging="283"/>
      <w:jc w:val="both"/>
    </w:pPr>
    <w:rPr>
      <w:kern w:val="18"/>
      <w:lang w:val="es-ES_tradnl"/>
    </w:rPr>
  </w:style>
  <w:style w:type="character" w:customStyle="1" w:styleId="Ttulo2Car">
    <w:name w:val="Título 2 Car"/>
    <w:basedOn w:val="Fuentedeprrafopredeter"/>
    <w:link w:val="Ttulo2"/>
    <w:uiPriority w:val="99"/>
    <w:rsid w:val="00835F81"/>
    <w:rPr>
      <w:rFonts w:ascii="Arial" w:hAnsi="Arial" w:cs="Arial"/>
      <w:b/>
      <w:bCs/>
      <w:kern w:val="18"/>
      <w:sz w:val="24"/>
      <w:szCs w:val="24"/>
      <w:lang w:val="es-ES" w:eastAsia="es-ES"/>
    </w:rPr>
  </w:style>
  <w:style w:type="paragraph" w:styleId="Textoindependiente2">
    <w:name w:val="Body Text 2"/>
    <w:basedOn w:val="Normal"/>
    <w:link w:val="Textoindependiente2Car"/>
    <w:uiPriority w:val="99"/>
    <w:rsid w:val="00835F81"/>
    <w:pPr>
      <w:spacing w:line="360" w:lineRule="auto"/>
    </w:pPr>
    <w:rPr>
      <w:rFonts w:ascii="Bookman Old Style" w:hAnsi="Bookman Old Style" w:cs="Bookman Old Style"/>
      <w:kern w:val="18"/>
    </w:rPr>
  </w:style>
  <w:style w:type="character" w:customStyle="1" w:styleId="Textoindependiente2Car">
    <w:name w:val="Texto independiente 2 Car"/>
    <w:basedOn w:val="Fuentedeprrafopredeter"/>
    <w:link w:val="Textoindependiente2"/>
    <w:uiPriority w:val="99"/>
    <w:rsid w:val="00835F81"/>
    <w:rPr>
      <w:rFonts w:ascii="Bookman Old Style" w:hAnsi="Bookman Old Style" w:cs="Bookman Old Style"/>
      <w:kern w:val="18"/>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rsid w:val="00835F81"/>
    <w:pPr>
      <w:keepNext/>
      <w:spacing w:before="240" w:after="60"/>
      <w:outlineLvl w:val="0"/>
    </w:pPr>
    <w:rPr>
      <w:b/>
      <w:bCs/>
      <w:kern w:val="32"/>
    </w:rPr>
  </w:style>
  <w:style w:type="paragraph" w:styleId="Ttulo2">
    <w:name w:val="heading 2"/>
    <w:basedOn w:val="Normal"/>
    <w:next w:val="Textoindependiente"/>
    <w:link w:val="Ttulo2Car"/>
    <w:uiPriority w:val="99"/>
    <w:qFormat/>
    <w:rsid w:val="00835F81"/>
    <w:pPr>
      <w:spacing w:line="360" w:lineRule="auto"/>
      <w:jc w:val="both"/>
      <w:outlineLvl w:val="1"/>
    </w:pPr>
    <w:rPr>
      <w:b/>
      <w:bCs/>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240" w:line="240" w:lineRule="atLeast"/>
      <w:jc w:val="both"/>
    </w:pPr>
    <w:rPr>
      <w:kern w:val="18"/>
      <w:lang w:val="es-ES_tradnl"/>
    </w:rPr>
  </w:style>
  <w:style w:type="character" w:customStyle="1" w:styleId="TextoindependienteCar">
    <w:name w:val="Texto independiente Car"/>
    <w:basedOn w:val="Fuentedeprrafopredeter"/>
    <w:link w:val="Textoindependiente"/>
    <w:uiPriority w:val="99"/>
    <w:rPr>
      <w:rFonts w:ascii="Arial" w:hAnsi="Arial" w:cs="Arial"/>
      <w:kern w:val="18"/>
      <w:sz w:val="20"/>
      <w:szCs w:val="20"/>
      <w:lang w:val="es-ES_tradnl" w:eastAsia="es-ES"/>
    </w:rPr>
  </w:style>
  <w:style w:type="paragraph" w:styleId="Textoindependiente3">
    <w:name w:val="Body Text 3"/>
    <w:basedOn w:val="Normal"/>
    <w:link w:val="Textoindependiente3Car"/>
    <w:uiPriority w:val="99"/>
    <w:pPr>
      <w:spacing w:line="360" w:lineRule="auto"/>
      <w:jc w:val="right"/>
    </w:pPr>
  </w:style>
  <w:style w:type="character" w:customStyle="1" w:styleId="Textoindependiente3Car">
    <w:name w:val="Texto independiente 3 Car"/>
    <w:basedOn w:val="Fuentedeprrafopredeter"/>
    <w:link w:val="Textoindependiente3"/>
    <w:uiPriority w:val="99"/>
    <w:rPr>
      <w:rFonts w:ascii="Arial" w:hAnsi="Arial" w:cs="Arial"/>
      <w:sz w:val="24"/>
      <w:szCs w:val="24"/>
      <w:lang w:val="es-ES" w:eastAsia="es-ES"/>
    </w:rPr>
  </w:style>
  <w:style w:type="character" w:customStyle="1" w:styleId="Ttulo1Car">
    <w:name w:val="Título 1 Car"/>
    <w:basedOn w:val="Fuentedeprrafopredeter"/>
    <w:link w:val="Ttulo1"/>
    <w:uiPriority w:val="99"/>
    <w:rsid w:val="00835F81"/>
    <w:rPr>
      <w:rFonts w:ascii="Arial" w:hAnsi="Arial" w:cs="Arial"/>
      <w:b/>
      <w:bCs/>
      <w:kern w:val="32"/>
      <w:sz w:val="24"/>
      <w:szCs w:val="24"/>
      <w:lang w:val="es-ES" w:eastAsia="es-ES"/>
    </w:rPr>
  </w:style>
  <w:style w:type="paragraph" w:styleId="Subttulo">
    <w:name w:val="Subtitle"/>
    <w:basedOn w:val="Normal"/>
    <w:link w:val="SubttuloCar"/>
    <w:uiPriority w:val="99"/>
    <w:qFormat/>
    <w:rsid w:val="00835F81"/>
    <w:pPr>
      <w:spacing w:line="360" w:lineRule="auto"/>
      <w:jc w:val="both"/>
    </w:pPr>
    <w:rPr>
      <w:rFonts w:ascii="Bookman Old Style" w:hAnsi="Bookman Old Style" w:cs="Bookman Old Style"/>
      <w:b/>
      <w:bCs/>
      <w:kern w:val="18"/>
    </w:rPr>
  </w:style>
  <w:style w:type="character" w:customStyle="1" w:styleId="SubttuloCar">
    <w:name w:val="Subtítulo Car"/>
    <w:basedOn w:val="Fuentedeprrafopredeter"/>
    <w:link w:val="Subttulo"/>
    <w:uiPriority w:val="99"/>
    <w:rsid w:val="00835F81"/>
    <w:rPr>
      <w:rFonts w:ascii="Bookman Old Style" w:hAnsi="Bookman Old Style" w:cs="Bookman Old Style"/>
      <w:b/>
      <w:bCs/>
      <w:kern w:val="18"/>
      <w:sz w:val="24"/>
      <w:szCs w:val="24"/>
      <w:lang w:val="es-ES" w:eastAsia="es-ES"/>
    </w:rPr>
  </w:style>
  <w:style w:type="paragraph" w:styleId="Lista">
    <w:name w:val="List"/>
    <w:basedOn w:val="Normal"/>
    <w:uiPriority w:val="99"/>
    <w:rsid w:val="00835F81"/>
    <w:pPr>
      <w:spacing w:line="360" w:lineRule="auto"/>
      <w:ind w:left="283" w:hanging="283"/>
      <w:jc w:val="both"/>
    </w:pPr>
    <w:rPr>
      <w:kern w:val="18"/>
      <w:lang w:val="es-ES_tradnl"/>
    </w:rPr>
  </w:style>
  <w:style w:type="character" w:customStyle="1" w:styleId="Ttulo2Car">
    <w:name w:val="Título 2 Car"/>
    <w:basedOn w:val="Fuentedeprrafopredeter"/>
    <w:link w:val="Ttulo2"/>
    <w:uiPriority w:val="99"/>
    <w:rsid w:val="00835F81"/>
    <w:rPr>
      <w:rFonts w:ascii="Arial" w:hAnsi="Arial" w:cs="Arial"/>
      <w:b/>
      <w:bCs/>
      <w:kern w:val="18"/>
      <w:sz w:val="24"/>
      <w:szCs w:val="24"/>
      <w:lang w:val="es-ES" w:eastAsia="es-ES"/>
    </w:rPr>
  </w:style>
  <w:style w:type="paragraph" w:styleId="Textoindependiente2">
    <w:name w:val="Body Text 2"/>
    <w:basedOn w:val="Normal"/>
    <w:link w:val="Textoindependiente2Car"/>
    <w:uiPriority w:val="99"/>
    <w:rsid w:val="00835F81"/>
    <w:pPr>
      <w:spacing w:line="360" w:lineRule="auto"/>
    </w:pPr>
    <w:rPr>
      <w:rFonts w:ascii="Bookman Old Style" w:hAnsi="Bookman Old Style" w:cs="Bookman Old Style"/>
      <w:kern w:val="18"/>
    </w:rPr>
  </w:style>
  <w:style w:type="character" w:customStyle="1" w:styleId="Textoindependiente2Car">
    <w:name w:val="Texto independiente 2 Car"/>
    <w:basedOn w:val="Fuentedeprrafopredeter"/>
    <w:link w:val="Textoindependiente2"/>
    <w:uiPriority w:val="99"/>
    <w:rsid w:val="00835F81"/>
    <w:rPr>
      <w:rFonts w:ascii="Bookman Old Style" w:hAnsi="Bookman Old Style" w:cs="Bookman Old Style"/>
      <w:kern w:val="18"/>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1642</Words>
  <Characters>9031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Expediente N° 2014-17-1-0003276</vt:lpstr>
    </vt:vector>
  </TitlesOfParts>
  <Company>Tribunal de Cuentas</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 2014-17-1-0003276</dc:title>
  <dc:subject/>
  <dc:creator>12495209</dc:creator>
  <cp:keywords/>
  <dc:description/>
  <cp:lastModifiedBy> </cp:lastModifiedBy>
  <cp:revision>3</cp:revision>
  <cp:lastPrinted>2014-06-02T18:49:00Z</cp:lastPrinted>
  <dcterms:created xsi:type="dcterms:W3CDTF">2014-06-26T18:47:00Z</dcterms:created>
  <dcterms:modified xsi:type="dcterms:W3CDTF">2014-07-21T21:35:00Z</dcterms:modified>
</cp:coreProperties>
</file>