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63" w:rsidRPr="00190063" w:rsidRDefault="00190063" w:rsidP="0019006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  <w:r w:rsidRPr="00190063">
        <w:rPr>
          <w:rFonts w:ascii="Helvetica" w:hAnsi="Helvetica"/>
          <w:b/>
          <w:sz w:val="24"/>
          <w:szCs w:val="24"/>
        </w:rPr>
        <w:t>RESOLUCION ADOPTADA POR EL</w:t>
      </w:r>
    </w:p>
    <w:p w:rsidR="00190063" w:rsidRPr="00190063" w:rsidRDefault="00190063" w:rsidP="00190063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</w:p>
    <w:p w:rsidR="00190063" w:rsidRPr="00190063" w:rsidRDefault="00190063" w:rsidP="0019006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  <w:r w:rsidRPr="00190063">
        <w:rPr>
          <w:rFonts w:ascii="Helvetica" w:hAnsi="Helvetica"/>
          <w:b/>
          <w:sz w:val="24"/>
          <w:szCs w:val="24"/>
        </w:rPr>
        <w:t>TRIBUNAL DE CUENTAS</w:t>
      </w:r>
    </w:p>
    <w:p w:rsidR="00190063" w:rsidRPr="00190063" w:rsidRDefault="00190063" w:rsidP="00190063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</w:p>
    <w:p w:rsidR="00190063" w:rsidRPr="00190063" w:rsidRDefault="00190063" w:rsidP="0019006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  <w:r w:rsidRPr="00190063">
        <w:rPr>
          <w:rFonts w:ascii="Helvetica" w:hAnsi="Helvetica"/>
          <w:b/>
          <w:sz w:val="24"/>
          <w:szCs w:val="24"/>
        </w:rPr>
        <w:t>EN SESION DE FECHA 25 DE JUNIO DE 2014</w:t>
      </w:r>
    </w:p>
    <w:p w:rsidR="00190063" w:rsidRPr="00190063" w:rsidRDefault="00190063" w:rsidP="0019006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</w:p>
    <w:p w:rsidR="00190063" w:rsidRPr="00190063" w:rsidRDefault="00190063" w:rsidP="0019006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UY"/>
        </w:rPr>
      </w:pPr>
      <w:r w:rsidRPr="00190063">
        <w:rPr>
          <w:rFonts w:ascii="Helvetica" w:hAnsi="Helvetica"/>
          <w:b/>
          <w:sz w:val="24"/>
          <w:szCs w:val="24"/>
          <w:lang w:val="es-UY"/>
        </w:rPr>
        <w:t>(E. E. Nº 2013-17-1-0001078, Ent. N° 2554/14)</w:t>
      </w:r>
    </w:p>
    <w:p w:rsidR="00190063" w:rsidRPr="00190063" w:rsidRDefault="00190063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5C7ADC" w:rsidRDefault="005C7ADC" w:rsidP="00190063">
      <w:pPr>
        <w:shd w:val="clear" w:color="auto" w:fill="FFFFFF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la Administración Nacional de Puertos, relacionadas con la modificación del contrato de arrendamiento celebrado con Telefónica Móviles del Urug</w:t>
      </w:r>
      <w:r w:rsidR="00190063">
        <w:rPr>
          <w:rFonts w:ascii="Arial" w:hAnsi="Arial" w:cs="Arial"/>
          <w:sz w:val="24"/>
          <w:szCs w:val="24"/>
        </w:rPr>
        <w:t>uay S</w:t>
      </w:r>
      <w:r w:rsidR="004254E8">
        <w:rPr>
          <w:rFonts w:ascii="Arial" w:hAnsi="Arial" w:cs="Arial"/>
          <w:sz w:val="24"/>
          <w:szCs w:val="24"/>
        </w:rPr>
        <w:t>.</w:t>
      </w:r>
      <w:r w:rsidR="00190063">
        <w:rPr>
          <w:rFonts w:ascii="Arial" w:hAnsi="Arial" w:cs="Arial"/>
          <w:sz w:val="24"/>
          <w:szCs w:val="24"/>
        </w:rPr>
        <w:t>A</w:t>
      </w:r>
      <w:r w:rsidR="004254E8">
        <w:rPr>
          <w:rFonts w:ascii="Arial" w:hAnsi="Arial" w:cs="Arial"/>
          <w:sz w:val="24"/>
          <w:szCs w:val="24"/>
        </w:rPr>
        <w:t>., por el inmueble rural</w:t>
      </w:r>
      <w:r w:rsidR="00190063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adrón Nº 4023 de Fray Bentos – Río Negro;</w:t>
      </w:r>
    </w:p>
    <w:p w:rsidR="00190063" w:rsidRDefault="005C7ADC" w:rsidP="0019006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con fecha 6 de abril de 2005, ABIATAR S</w:t>
      </w:r>
      <w:r w:rsidR="004254E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4254E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(actual Telefónica Móviles del Uruguay S</w:t>
      </w:r>
      <w:r w:rsidR="004254E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4254E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) arrendó a Francisco Javier Barboza (anterior propietario), un predio ubicado en R</w:t>
      </w:r>
      <w:r w:rsidR="004254E8">
        <w:rPr>
          <w:rFonts w:ascii="Arial" w:hAnsi="Arial" w:cs="Arial"/>
          <w:sz w:val="24"/>
          <w:szCs w:val="24"/>
        </w:rPr>
        <w:t>í</w:t>
      </w:r>
      <w:r w:rsidR="00190063">
        <w:rPr>
          <w:rFonts w:ascii="Arial" w:hAnsi="Arial" w:cs="Arial"/>
          <w:sz w:val="24"/>
          <w:szCs w:val="24"/>
        </w:rPr>
        <w:t>o Negro, empadronado con el N°</w:t>
      </w:r>
      <w:r>
        <w:rPr>
          <w:rFonts w:ascii="Arial" w:hAnsi="Arial" w:cs="Arial"/>
          <w:sz w:val="24"/>
          <w:szCs w:val="24"/>
        </w:rPr>
        <w:t>4023, con una superficie de 22.500 metros cuadrados, por un precio de $14.000, pagaderos anualmente, por el plazo de 15 años a contar del otorgam</w:t>
      </w:r>
      <w:r w:rsidR="00190063">
        <w:rPr>
          <w:rFonts w:ascii="Arial" w:hAnsi="Arial" w:cs="Arial"/>
          <w:sz w:val="24"/>
          <w:szCs w:val="24"/>
        </w:rPr>
        <w:t>iento, prorrogable por 5 años más;</w:t>
      </w:r>
    </w:p>
    <w:p w:rsidR="00190063" w:rsidRDefault="005C7ADC" w:rsidP="0019006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 w:rsidR="00190063">
        <w:rPr>
          <w:rFonts w:ascii="Arial" w:hAnsi="Arial" w:cs="Arial"/>
          <w:sz w:val="24"/>
          <w:szCs w:val="24"/>
        </w:rPr>
        <w:t xml:space="preserve">que por Resolución N° </w:t>
      </w:r>
      <w:r>
        <w:rPr>
          <w:rFonts w:ascii="Arial" w:hAnsi="Arial" w:cs="Arial"/>
          <w:sz w:val="24"/>
          <w:szCs w:val="24"/>
        </w:rPr>
        <w:t>3/3.669 de fecha 05.02.13, el Directorio  dispuso  –supeditado a la intervención preventiva del Tribunal de Cuentas-, el otorgamiento de la escritura de compraventa del inmueble referid</w:t>
      </w:r>
      <w:r w:rsidR="00190063">
        <w:rPr>
          <w:rFonts w:ascii="Arial" w:hAnsi="Arial" w:cs="Arial"/>
          <w:sz w:val="24"/>
          <w:szCs w:val="24"/>
        </w:rPr>
        <w:t>o, por la suma de UR 9.701,2004</w:t>
      </w:r>
      <w:r w:rsidR="004254E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aceptar el </w:t>
      </w:r>
      <w:r w:rsidR="004254E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ontrato de </w:t>
      </w:r>
      <w:r w:rsidR="004254E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rrendamiento vigente sobre parte del referido </w:t>
      </w:r>
      <w:r w:rsidR="004254E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adrón con la empresa ABIATAR S</w:t>
      </w:r>
      <w:r w:rsidR="004254E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4254E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debiendo formalizar</w:t>
      </w:r>
      <w:r w:rsidR="004254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debida cesión del </w:t>
      </w:r>
      <w:r w:rsidR="004254E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ontrato de </w:t>
      </w:r>
      <w:r w:rsidR="004254E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rrendamiento a favor de la A</w:t>
      </w:r>
      <w:r w:rsidR="004254E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N</w:t>
      </w:r>
      <w:r w:rsidR="004254E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P</w:t>
      </w:r>
      <w:r w:rsidR="004254E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;</w:t>
      </w:r>
    </w:p>
    <w:p w:rsidR="00190063" w:rsidRDefault="005C7ADC" w:rsidP="0019006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4254E8">
        <w:rPr>
          <w:rFonts w:ascii="Arial" w:hAnsi="Arial" w:cs="Arial"/>
          <w:sz w:val="24"/>
          <w:szCs w:val="24"/>
        </w:rPr>
        <w:t>que en Sesión de fecha 17.04.13</w:t>
      </w:r>
      <w:r>
        <w:rPr>
          <w:rFonts w:ascii="Arial" w:hAnsi="Arial" w:cs="Arial"/>
          <w:sz w:val="24"/>
          <w:szCs w:val="24"/>
        </w:rPr>
        <w:t xml:space="preserve"> este Tribunal cometió al Contador Delegado la</w:t>
      </w:r>
      <w:r w:rsidR="004254E8">
        <w:rPr>
          <w:rFonts w:ascii="Arial" w:hAnsi="Arial" w:cs="Arial"/>
          <w:sz w:val="24"/>
          <w:szCs w:val="24"/>
        </w:rPr>
        <w:t xml:space="preserve"> intervención del gasto. </w:t>
      </w:r>
      <w:r w:rsidR="00190063">
        <w:rPr>
          <w:rFonts w:ascii="Arial" w:hAnsi="Arial" w:cs="Arial"/>
          <w:sz w:val="24"/>
          <w:szCs w:val="24"/>
        </w:rPr>
        <w:t>El Contador Delegado observó</w:t>
      </w:r>
      <w:r>
        <w:rPr>
          <w:rFonts w:ascii="Arial" w:hAnsi="Arial" w:cs="Arial"/>
          <w:sz w:val="24"/>
          <w:szCs w:val="24"/>
        </w:rPr>
        <w:t xml:space="preserve"> el gasto, y siendo reiterado, se mantuvo la observación;</w:t>
      </w:r>
    </w:p>
    <w:p w:rsidR="00190063" w:rsidRDefault="005C7ADC" w:rsidP="0019006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>que con fecha 08.08.13, Francisco Javier Barboza vendió lib</w:t>
      </w:r>
      <w:r w:rsidR="004254E8">
        <w:rPr>
          <w:rFonts w:ascii="Arial" w:hAnsi="Arial" w:cs="Arial"/>
          <w:sz w:val="24"/>
          <w:szCs w:val="24"/>
        </w:rPr>
        <w:t>re de obligaciones y gravámenes</w:t>
      </w:r>
      <w:r>
        <w:rPr>
          <w:rFonts w:ascii="Arial" w:hAnsi="Arial" w:cs="Arial"/>
          <w:sz w:val="24"/>
          <w:szCs w:val="24"/>
        </w:rPr>
        <w:t xml:space="preserve"> -con excepción</w:t>
      </w:r>
      <w:r w:rsidR="004254E8">
        <w:rPr>
          <w:rFonts w:ascii="Arial" w:hAnsi="Arial" w:cs="Arial"/>
          <w:sz w:val="24"/>
          <w:szCs w:val="24"/>
        </w:rPr>
        <w:t xml:space="preserve"> del contrato de arrendamiento-</w:t>
      </w:r>
      <w:r>
        <w:rPr>
          <w:rFonts w:ascii="Arial" w:hAnsi="Arial" w:cs="Arial"/>
          <w:sz w:val="24"/>
          <w:szCs w:val="24"/>
        </w:rPr>
        <w:t xml:space="preserve"> a la A</w:t>
      </w:r>
      <w:r w:rsidR="004254E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N</w:t>
      </w:r>
      <w:r w:rsidR="004254E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P</w:t>
      </w:r>
      <w:r w:rsidR="004254E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la propiedad y posesión del bien mencionado</w:t>
      </w:r>
      <w:r w:rsidR="004254E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 con fecha 16.08.13, Francisco Javier Barboza cedió y transfirió libre de todo </w:t>
      </w:r>
      <w:r>
        <w:rPr>
          <w:rFonts w:ascii="Arial" w:hAnsi="Arial" w:cs="Arial"/>
          <w:sz w:val="24"/>
          <w:szCs w:val="24"/>
        </w:rPr>
        <w:lastRenderedPageBreak/>
        <w:t>gravamen a la A</w:t>
      </w:r>
      <w:r w:rsidR="00A4408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N</w:t>
      </w:r>
      <w:r w:rsidR="00A4408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P</w:t>
      </w:r>
      <w:r w:rsidR="00A4408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la totalidad de los derechos emergentes del </w:t>
      </w:r>
      <w:r w:rsidR="00A4408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ontrato de </w:t>
      </w:r>
      <w:r w:rsidR="00A4408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rrendamiento relacionado;</w:t>
      </w:r>
    </w:p>
    <w:p w:rsidR="00190063" w:rsidRDefault="005C7ADC" w:rsidP="0019006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190063">
        <w:rPr>
          <w:rFonts w:ascii="Arial" w:hAnsi="Arial" w:cs="Arial"/>
          <w:b/>
          <w:sz w:val="24"/>
          <w:szCs w:val="24"/>
        </w:rPr>
        <w:t>5)</w:t>
      </w:r>
      <w:r w:rsidR="00190063">
        <w:rPr>
          <w:rFonts w:ascii="Arial" w:hAnsi="Arial" w:cs="Arial"/>
          <w:b/>
          <w:sz w:val="24"/>
          <w:szCs w:val="24"/>
        </w:rPr>
        <w:t xml:space="preserve"> </w:t>
      </w:r>
      <w:r w:rsidR="00190063">
        <w:rPr>
          <w:rFonts w:ascii="Arial" w:hAnsi="Arial" w:cs="Arial"/>
          <w:sz w:val="24"/>
          <w:szCs w:val="24"/>
        </w:rPr>
        <w:t>que se da cuenta que en el perí</w:t>
      </w:r>
      <w:r>
        <w:rPr>
          <w:rFonts w:ascii="Arial" w:hAnsi="Arial" w:cs="Arial"/>
          <w:sz w:val="24"/>
          <w:szCs w:val="24"/>
        </w:rPr>
        <w:t>odo compre</w:t>
      </w:r>
      <w:r w:rsidR="00A44088">
        <w:rPr>
          <w:rFonts w:ascii="Arial" w:hAnsi="Arial" w:cs="Arial"/>
          <w:sz w:val="24"/>
          <w:szCs w:val="24"/>
        </w:rPr>
        <w:t>ndido entre el 06.04.13 al 05.04.14</w:t>
      </w:r>
      <w:r>
        <w:rPr>
          <w:rFonts w:ascii="Arial" w:hAnsi="Arial" w:cs="Arial"/>
          <w:sz w:val="24"/>
          <w:szCs w:val="24"/>
        </w:rPr>
        <w:t xml:space="preserve"> el precio del arriendo mensual con el reajuste era de $</w:t>
      </w:r>
      <w:r w:rsidR="0019006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7.599,91;</w:t>
      </w:r>
    </w:p>
    <w:p w:rsidR="00190063" w:rsidRDefault="005C7ADC" w:rsidP="0019006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6) </w:t>
      </w:r>
      <w:r>
        <w:rPr>
          <w:rFonts w:ascii="Arial" w:hAnsi="Arial" w:cs="Arial"/>
          <w:sz w:val="24"/>
          <w:szCs w:val="24"/>
        </w:rPr>
        <w:t xml:space="preserve">que la </w:t>
      </w:r>
      <w:r w:rsidR="00A44088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irma contratista manifestó su voluntad de continuar con el arrendamiento, proponiendo reducir el espacio que ocupan. Por Resolución Nº 1028/3.712 de fecha 24.12.13, se aprobó el texto de modificación del </w:t>
      </w:r>
      <w:r w:rsidR="00A4408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ontrato de </w:t>
      </w:r>
      <w:r w:rsidR="00A4408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rrendamiento;</w:t>
      </w:r>
    </w:p>
    <w:p w:rsidR="005139D3" w:rsidRDefault="005C7ADC" w:rsidP="005139D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7) </w:t>
      </w:r>
      <w:r>
        <w:rPr>
          <w:rFonts w:ascii="Arial" w:hAnsi="Arial" w:cs="Arial"/>
          <w:sz w:val="24"/>
          <w:szCs w:val="24"/>
        </w:rPr>
        <w:t xml:space="preserve">que en la </w:t>
      </w:r>
      <w:r w:rsidRPr="00A44088">
        <w:rPr>
          <w:rFonts w:ascii="Arial" w:hAnsi="Arial" w:cs="Arial"/>
          <w:iCs/>
          <w:sz w:val="24"/>
          <w:szCs w:val="24"/>
        </w:rPr>
        <w:t xml:space="preserve">“Modificación del </w:t>
      </w:r>
      <w:r w:rsidR="00A44088">
        <w:rPr>
          <w:rFonts w:ascii="Arial" w:hAnsi="Arial" w:cs="Arial"/>
          <w:iCs/>
          <w:sz w:val="24"/>
          <w:szCs w:val="24"/>
        </w:rPr>
        <w:t>C</w:t>
      </w:r>
      <w:r w:rsidRPr="00A44088">
        <w:rPr>
          <w:rFonts w:ascii="Arial" w:hAnsi="Arial" w:cs="Arial"/>
          <w:iCs/>
          <w:sz w:val="24"/>
          <w:szCs w:val="24"/>
        </w:rPr>
        <w:t>ontrat</w:t>
      </w:r>
      <w:r w:rsidR="00190063" w:rsidRPr="00A44088">
        <w:rPr>
          <w:rFonts w:ascii="Arial" w:hAnsi="Arial" w:cs="Arial"/>
          <w:iCs/>
          <w:sz w:val="24"/>
          <w:szCs w:val="24"/>
        </w:rPr>
        <w:t xml:space="preserve">o de </w:t>
      </w:r>
      <w:r w:rsidR="00A44088">
        <w:rPr>
          <w:rFonts w:ascii="Arial" w:hAnsi="Arial" w:cs="Arial"/>
          <w:iCs/>
          <w:sz w:val="24"/>
          <w:szCs w:val="24"/>
        </w:rPr>
        <w:t>A</w:t>
      </w:r>
      <w:r w:rsidR="00190063" w:rsidRPr="00A44088">
        <w:rPr>
          <w:rFonts w:ascii="Arial" w:hAnsi="Arial" w:cs="Arial"/>
          <w:iCs/>
          <w:sz w:val="24"/>
          <w:szCs w:val="24"/>
        </w:rPr>
        <w:t>rrendamiento”</w:t>
      </w:r>
      <w:r w:rsidR="00A44088" w:rsidRPr="00A44088">
        <w:rPr>
          <w:rFonts w:ascii="Arial" w:hAnsi="Arial" w:cs="Arial"/>
          <w:iCs/>
          <w:sz w:val="24"/>
          <w:szCs w:val="24"/>
        </w:rPr>
        <w:t xml:space="preserve"> </w:t>
      </w:r>
      <w:r w:rsidR="00A44088" w:rsidRPr="00A44088">
        <w:rPr>
          <w:rFonts w:ascii="Arial" w:hAnsi="Arial" w:cs="Arial"/>
          <w:iCs/>
          <w:sz w:val="24"/>
          <w:szCs w:val="24"/>
        </w:rPr>
        <w:t>,</w:t>
      </w:r>
      <w:r w:rsidR="00190063" w:rsidRPr="00A44088">
        <w:rPr>
          <w:rFonts w:ascii="Arial" w:hAnsi="Arial" w:cs="Arial"/>
          <w:iCs/>
          <w:sz w:val="24"/>
          <w:szCs w:val="24"/>
        </w:rPr>
        <w:t xml:space="preserve"> se estipuló</w:t>
      </w:r>
      <w:r w:rsidRPr="00A44088">
        <w:rPr>
          <w:rFonts w:ascii="Arial" w:hAnsi="Arial" w:cs="Arial"/>
          <w:iCs/>
          <w:sz w:val="24"/>
          <w:szCs w:val="24"/>
        </w:rPr>
        <w:t xml:space="preserve"> en lo principal, que: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190063">
        <w:rPr>
          <w:rFonts w:ascii="Arial" w:hAnsi="Arial" w:cs="Arial"/>
          <w:b/>
          <w:iCs/>
          <w:sz w:val="24"/>
          <w:szCs w:val="24"/>
        </w:rPr>
        <w:t>a</w:t>
      </w:r>
      <w:r w:rsidRPr="00A44088">
        <w:rPr>
          <w:rFonts w:ascii="Arial" w:hAnsi="Arial" w:cs="Arial"/>
          <w:iCs/>
          <w:sz w:val="24"/>
          <w:szCs w:val="24"/>
        </w:rPr>
        <w:t>)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partir del 6 de abril de 2014, se reducirá la superficie del inmueble, que pasará a ser de una extensión de 11.470 metros cuadrados, obligándose el arrendatario a liberar las áreas que quedan excluidas y que pasará a ocupar el arrendador</w:t>
      </w:r>
      <w:r w:rsidR="00A44088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Pr="005139D3">
        <w:rPr>
          <w:rFonts w:ascii="Arial" w:hAnsi="Arial" w:cs="Arial"/>
          <w:b/>
          <w:sz w:val="24"/>
          <w:szCs w:val="24"/>
        </w:rPr>
        <w:t>b</w:t>
      </w:r>
      <w:r w:rsidRPr="00A4408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a partir de la próxima anualidad contractual (pe</w:t>
      </w:r>
      <w:r w:rsidR="00A44088">
        <w:rPr>
          <w:rFonts w:ascii="Arial" w:hAnsi="Arial" w:cs="Arial"/>
          <w:sz w:val="24"/>
          <w:szCs w:val="24"/>
        </w:rPr>
        <w:t>ríodo del 06.04.14 al 05.04.15)</w:t>
      </w:r>
      <w:r>
        <w:rPr>
          <w:rFonts w:ascii="Arial" w:hAnsi="Arial" w:cs="Arial"/>
          <w:sz w:val="24"/>
          <w:szCs w:val="24"/>
        </w:rPr>
        <w:t xml:space="preserve"> se modifica el precio del arriendo, que pasará a ser de $ 12.000 mensuales, totalizando la suma de $ 144.000 anuales, y se agrega una cláusula referente a la rescisión por comisión de actividades ilícitas;</w:t>
      </w:r>
    </w:p>
    <w:p w:rsidR="005139D3" w:rsidRDefault="005C7ADC" w:rsidP="005139D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8)</w:t>
      </w:r>
      <w:r>
        <w:rPr>
          <w:rFonts w:ascii="Arial" w:hAnsi="Arial" w:cs="Arial"/>
          <w:sz w:val="24"/>
          <w:szCs w:val="24"/>
        </w:rPr>
        <w:t xml:space="preserve"> que con fecha 03.01.14, se notificó a Telefónica Móviles del Uruguay S</w:t>
      </w:r>
      <w:r w:rsidR="00A4408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A4408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la Resolución de Directorio Nº 1028/3.712;</w:t>
      </w:r>
    </w:p>
    <w:p w:rsidR="005139D3" w:rsidRDefault="005C7ADC" w:rsidP="005139D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9) </w:t>
      </w:r>
      <w:r>
        <w:rPr>
          <w:rFonts w:ascii="Arial" w:hAnsi="Arial" w:cs="Arial"/>
          <w:sz w:val="24"/>
          <w:szCs w:val="24"/>
        </w:rPr>
        <w:t>que las actuaciones ingresaron al Tribunal,</w:t>
      </w:r>
      <w:r w:rsidR="005139D3">
        <w:rPr>
          <w:rFonts w:ascii="Arial" w:hAnsi="Arial" w:cs="Arial"/>
          <w:sz w:val="24"/>
          <w:szCs w:val="24"/>
        </w:rPr>
        <w:t xml:space="preserve"> con fecha 17.01.14</w:t>
      </w:r>
      <w:r>
        <w:rPr>
          <w:rFonts w:ascii="Arial" w:hAnsi="Arial" w:cs="Arial"/>
          <w:sz w:val="24"/>
          <w:szCs w:val="24"/>
        </w:rPr>
        <w:t xml:space="preserve"> y fueron devueltas para mejor proveer, a efectos de que fueren agregados el </w:t>
      </w:r>
      <w:r w:rsidR="00A4408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ontrato de </w:t>
      </w:r>
      <w:r w:rsidR="00A4408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ompraventa celebrado </w:t>
      </w:r>
      <w:r w:rsidR="00A44088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la A</w:t>
      </w:r>
      <w:r w:rsidR="00A4408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N</w:t>
      </w:r>
      <w:r w:rsidR="00A4408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P</w:t>
      </w:r>
      <w:r w:rsidR="00A4408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y Francisco Ja</w:t>
      </w:r>
      <w:r w:rsidR="005139D3">
        <w:rPr>
          <w:rFonts w:ascii="Arial" w:hAnsi="Arial" w:cs="Arial"/>
          <w:sz w:val="24"/>
          <w:szCs w:val="24"/>
        </w:rPr>
        <w:t>vier Barboza con fecha 16.08.13</w:t>
      </w:r>
      <w:r>
        <w:rPr>
          <w:rFonts w:ascii="Arial" w:hAnsi="Arial" w:cs="Arial"/>
          <w:sz w:val="24"/>
          <w:szCs w:val="24"/>
        </w:rPr>
        <w:t xml:space="preserve"> y el </w:t>
      </w:r>
      <w:r w:rsidR="00A4408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ontrato de </w:t>
      </w:r>
      <w:r w:rsidR="00A4408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esión de </w:t>
      </w:r>
      <w:r w:rsidR="00A4408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erechos celebrado con fecha 16.08.13;</w:t>
      </w:r>
    </w:p>
    <w:p w:rsidR="005C7ADC" w:rsidRDefault="005C7ADC" w:rsidP="005139D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10)</w:t>
      </w:r>
      <w:r>
        <w:rPr>
          <w:rFonts w:ascii="Arial" w:hAnsi="Arial" w:cs="Arial"/>
          <w:sz w:val="24"/>
          <w:szCs w:val="24"/>
        </w:rPr>
        <w:t xml:space="preserve"> que en esta oportunidad, se remiten nuevamente las actuaciones con la documentación solicitada;</w:t>
      </w:r>
    </w:p>
    <w:p w:rsidR="005139D3" w:rsidRDefault="005C7ADC" w:rsidP="005139D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1)</w:t>
      </w:r>
      <w:r>
        <w:t xml:space="preserve"> </w:t>
      </w:r>
      <w:r w:rsidR="005139D3">
        <w:rPr>
          <w:rFonts w:ascii="Arial" w:hAnsi="Arial" w:cs="Arial"/>
          <w:sz w:val="24"/>
          <w:szCs w:val="24"/>
        </w:rPr>
        <w:t xml:space="preserve">que el </w:t>
      </w:r>
      <w:r w:rsidR="00A44088">
        <w:rPr>
          <w:rFonts w:ascii="Arial" w:hAnsi="Arial" w:cs="Arial"/>
          <w:sz w:val="24"/>
          <w:szCs w:val="24"/>
        </w:rPr>
        <w:t>C</w:t>
      </w:r>
      <w:r w:rsidR="005139D3">
        <w:rPr>
          <w:rFonts w:ascii="Arial" w:hAnsi="Arial" w:cs="Arial"/>
          <w:sz w:val="24"/>
          <w:szCs w:val="24"/>
        </w:rPr>
        <w:t xml:space="preserve">ontrato </w:t>
      </w:r>
      <w:r w:rsidR="00A44088">
        <w:rPr>
          <w:rFonts w:ascii="Arial" w:hAnsi="Arial" w:cs="Arial"/>
          <w:sz w:val="24"/>
          <w:szCs w:val="24"/>
        </w:rPr>
        <w:t>P</w:t>
      </w:r>
      <w:r w:rsidR="005139D3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blico podrá modificarse siempre y cuando se respeten las condiciones para ello;</w:t>
      </w:r>
    </w:p>
    <w:p w:rsidR="00A21B70" w:rsidRDefault="005C7ADC" w:rsidP="00A21B70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2)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los elementos a tener en cuenta, para la procedencia de la renegociación de los </w:t>
      </w:r>
      <w:r w:rsidR="003041D5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ontratos </w:t>
      </w:r>
      <w:r w:rsidR="003041D5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úblicos, que a su vez operan como l</w:t>
      </w:r>
      <w:r w:rsidR="003041D5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 xml:space="preserve">mites a la potestad modificatoria son: </w:t>
      </w:r>
      <w:r w:rsidRPr="005139D3">
        <w:rPr>
          <w:rFonts w:ascii="Arial" w:hAnsi="Arial" w:cs="Arial"/>
          <w:b/>
          <w:sz w:val="24"/>
          <w:szCs w:val="24"/>
        </w:rPr>
        <w:t>a</w:t>
      </w:r>
      <w:r w:rsidRPr="003041D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presencia y tutela del interés publico; </w:t>
      </w:r>
      <w:r w:rsidRPr="005139D3">
        <w:rPr>
          <w:rFonts w:ascii="Arial" w:hAnsi="Arial" w:cs="Arial"/>
          <w:b/>
          <w:sz w:val="24"/>
          <w:szCs w:val="24"/>
        </w:rPr>
        <w:t>b</w:t>
      </w:r>
      <w:r w:rsidRPr="003041D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no vulneración de normas y principios imperantes en materia de contratación administrativa y análisis de eventuales terceros afectados; y </w:t>
      </w:r>
      <w:r w:rsidR="003041D5">
        <w:rPr>
          <w:rFonts w:ascii="Arial" w:hAnsi="Arial" w:cs="Arial"/>
          <w:sz w:val="24"/>
          <w:szCs w:val="24"/>
        </w:rPr>
        <w:t xml:space="preserve">  </w:t>
      </w:r>
      <w:r w:rsidRPr="005139D3">
        <w:rPr>
          <w:rFonts w:ascii="Arial" w:hAnsi="Arial" w:cs="Arial"/>
          <w:b/>
          <w:sz w:val="24"/>
          <w:szCs w:val="24"/>
        </w:rPr>
        <w:t>c</w:t>
      </w:r>
      <w:r w:rsidRPr="003041D5">
        <w:rPr>
          <w:rFonts w:ascii="Arial" w:hAnsi="Arial" w:cs="Arial"/>
          <w:sz w:val="24"/>
          <w:szCs w:val="24"/>
        </w:rPr>
        <w:t>)</w:t>
      </w:r>
      <w:r w:rsidR="003041D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configuración  de circunstancias objetivas;</w:t>
      </w:r>
    </w:p>
    <w:p w:rsidR="005C7ADC" w:rsidRDefault="005C7ADC" w:rsidP="00A21B70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la modificación planteada no altera sustancialmente el </w:t>
      </w:r>
      <w:r w:rsidR="003041D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bjeto del </w:t>
      </w:r>
      <w:r w:rsidR="003041D5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ontrato, se da cumplimiento al postulado del principio de continuidad de los </w:t>
      </w:r>
      <w:r w:rsidR="003041D5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ontratos </w:t>
      </w:r>
      <w:r w:rsidR="003041D5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úblicos</w:t>
      </w:r>
      <w:r w:rsidR="003041D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no surge que se hayan afectado los principios imperantes en materia de contratación pública</w:t>
      </w:r>
      <w:r w:rsidR="00A21B70">
        <w:rPr>
          <w:rFonts w:ascii="Arial" w:hAnsi="Arial" w:cs="Arial"/>
          <w:sz w:val="24"/>
          <w:szCs w:val="24"/>
        </w:rPr>
        <w:t>, establecidos  en el A</w:t>
      </w:r>
      <w:r>
        <w:rPr>
          <w:rFonts w:ascii="Arial" w:hAnsi="Arial" w:cs="Arial"/>
          <w:sz w:val="24"/>
          <w:szCs w:val="24"/>
        </w:rPr>
        <w:t>rt</w:t>
      </w:r>
      <w:r w:rsidR="00A21B70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149 del T</w:t>
      </w:r>
      <w:r w:rsidR="00A21B70">
        <w:rPr>
          <w:rFonts w:ascii="Arial" w:hAnsi="Arial" w:cs="Arial"/>
          <w:sz w:val="24"/>
          <w:szCs w:val="24"/>
        </w:rPr>
        <w:t>OCAF</w:t>
      </w:r>
      <w:r>
        <w:rPr>
          <w:rFonts w:ascii="Arial" w:hAnsi="Arial" w:cs="Arial"/>
          <w:sz w:val="24"/>
          <w:szCs w:val="24"/>
        </w:rPr>
        <w:t>;</w:t>
      </w:r>
    </w:p>
    <w:p w:rsidR="005C7ADC" w:rsidRDefault="005C7ADC" w:rsidP="00A21B7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ATENTO:</w:t>
      </w:r>
      <w:r w:rsidR="00A21B70">
        <w:rPr>
          <w:rFonts w:ascii="Arial" w:hAnsi="Arial" w:cs="Arial"/>
          <w:sz w:val="24"/>
          <w:szCs w:val="24"/>
        </w:rPr>
        <w:t xml:space="preserve"> a lo dispuesto por el A</w:t>
      </w:r>
      <w:r>
        <w:rPr>
          <w:rFonts w:ascii="Arial" w:hAnsi="Arial" w:cs="Arial"/>
          <w:sz w:val="24"/>
          <w:szCs w:val="24"/>
        </w:rPr>
        <w:t>rt</w:t>
      </w:r>
      <w:r w:rsidR="00A21B70">
        <w:rPr>
          <w:rFonts w:ascii="Arial" w:hAnsi="Arial" w:cs="Arial"/>
          <w:sz w:val="24"/>
          <w:szCs w:val="24"/>
        </w:rPr>
        <w:t>ículo 211 L</w:t>
      </w:r>
      <w:r>
        <w:rPr>
          <w:rFonts w:ascii="Arial" w:hAnsi="Arial" w:cs="Arial"/>
          <w:sz w:val="24"/>
          <w:szCs w:val="24"/>
        </w:rPr>
        <w:t>it</w:t>
      </w:r>
      <w:r w:rsidR="00A21B70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E) de la Constitución de la República;</w:t>
      </w:r>
    </w:p>
    <w:p w:rsidR="005C7ADC" w:rsidRDefault="005C7ADC" w:rsidP="00A21B7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5C7ADC" w:rsidRDefault="005C7ADC" w:rsidP="00A21B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No efectuar observaciones a la modificación contractual propuesta;    </w:t>
      </w:r>
    </w:p>
    <w:p w:rsidR="005C7ADC" w:rsidRDefault="005C7ADC" w:rsidP="00A21B70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Cometer al C</w:t>
      </w:r>
      <w:r w:rsidR="00A21B70">
        <w:rPr>
          <w:rFonts w:ascii="Arial" w:hAnsi="Arial" w:cs="Arial"/>
          <w:sz w:val="24"/>
          <w:szCs w:val="24"/>
        </w:rPr>
        <w:t>ontado</w:t>
      </w:r>
      <w:r>
        <w:rPr>
          <w:rFonts w:ascii="Arial" w:hAnsi="Arial" w:cs="Arial"/>
          <w:sz w:val="24"/>
          <w:szCs w:val="24"/>
        </w:rPr>
        <w:t>r Delegado el control de la efectiva versión de lo</w:t>
      </w:r>
      <w:r w:rsidR="00A21B70">
        <w:rPr>
          <w:rFonts w:ascii="Arial" w:hAnsi="Arial" w:cs="Arial"/>
          <w:sz w:val="24"/>
          <w:szCs w:val="24"/>
        </w:rPr>
        <w:t xml:space="preserve"> recaudado en el rubro adecuado;</w:t>
      </w:r>
    </w:p>
    <w:p w:rsidR="005C7ADC" w:rsidRDefault="005C7ADC" w:rsidP="00A21B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Devolver las actuaciones.</w:t>
      </w:r>
      <w:bookmarkStart w:id="0" w:name="_GoBack"/>
      <w:bookmarkEnd w:id="0"/>
    </w:p>
    <w:p w:rsidR="00A21B70" w:rsidRDefault="00A21B70" w:rsidP="00A21B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21B70" w:rsidRDefault="00A21B70" w:rsidP="00A21B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21B70" w:rsidRDefault="00A21B70" w:rsidP="00A21B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C7ADC" w:rsidRDefault="00A21B70" w:rsidP="00A21B70">
      <w:pPr>
        <w:spacing w:after="0" w:line="360" w:lineRule="auto"/>
        <w:ind w:hanging="284"/>
        <w:jc w:val="both"/>
      </w:pPr>
      <w:r>
        <w:rPr>
          <w:rFonts w:ascii="Arial" w:hAnsi="Arial" w:cs="Arial"/>
          <w:sz w:val="24"/>
          <w:szCs w:val="24"/>
        </w:rPr>
        <w:t>dc</w:t>
      </w:r>
    </w:p>
    <w:sectPr w:rsidR="005C7ADC" w:rsidSect="00A21B70">
      <w:footerReference w:type="default" r:id="rId7"/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ADC" w:rsidRDefault="005C7ADC">
      <w:pPr>
        <w:spacing w:after="0" w:line="240" w:lineRule="auto"/>
      </w:pPr>
      <w:r>
        <w:separator/>
      </w:r>
    </w:p>
  </w:endnote>
  <w:endnote w:type="continuationSeparator" w:id="0">
    <w:p w:rsidR="005C7ADC" w:rsidRDefault="005C7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ADC" w:rsidRDefault="00A21B70">
    <w:pPr>
      <w:pStyle w:val="Piedepgina"/>
      <w:jc w:val="center"/>
      <w:rPr>
        <w:rFonts w:ascii="Times New Roman" w:hAnsi="Times New Roman" w:cs="Times New Roman"/>
      </w:rPr>
    </w:pPr>
    <w:r>
      <w:fldChar w:fldCharType="begin"/>
    </w:r>
    <w:r>
      <w:instrText>PAGE   \* MERGEFORMAT</w:instrText>
    </w:r>
    <w:r>
      <w:fldChar w:fldCharType="separate"/>
    </w:r>
    <w:r w:rsidR="003041D5" w:rsidRPr="003041D5">
      <w:rPr>
        <w:noProof/>
        <w:lang w:val="es-ES"/>
      </w:rPr>
      <w:t>3</w:t>
    </w:r>
    <w:r>
      <w:rPr>
        <w:noProof/>
        <w:lang w:val="es-ES"/>
      </w:rPr>
      <w:fldChar w:fldCharType="end"/>
    </w:r>
  </w:p>
  <w:p w:rsidR="005C7ADC" w:rsidRDefault="005C7ADC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ADC" w:rsidRDefault="005C7ADC">
      <w:pPr>
        <w:spacing w:after="0" w:line="240" w:lineRule="auto"/>
      </w:pPr>
      <w:r>
        <w:separator/>
      </w:r>
    </w:p>
  </w:footnote>
  <w:footnote w:type="continuationSeparator" w:id="0">
    <w:p w:rsidR="005C7ADC" w:rsidRDefault="005C7A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ADC"/>
    <w:rsid w:val="00190063"/>
    <w:rsid w:val="003041D5"/>
    <w:rsid w:val="004254E8"/>
    <w:rsid w:val="005139D3"/>
    <w:rsid w:val="005C7ADC"/>
    <w:rsid w:val="00A21B70"/>
    <w:rsid w:val="00A4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line="360" w:lineRule="auto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Cambria" w:hAnsi="Cambria" w:cs="Cambria"/>
      <w:b/>
      <w:bCs/>
      <w:kern w:val="32"/>
      <w:sz w:val="32"/>
      <w:szCs w:val="32"/>
      <w:lang w:val="es-ES_tradnl" w:eastAsia="en-US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Cambria" w:hAnsi="Cambria" w:cs="Cambria"/>
      <w:b/>
      <w:bCs/>
      <w:i/>
      <w:iCs/>
      <w:sz w:val="28"/>
      <w:szCs w:val="28"/>
      <w:lang w:val="es-ES_tradnl" w:eastAsia="en-U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hAnsi="Calibri" w:cs="Calibri"/>
      <w:lang w:val="es-ES_tradnl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Pr>
      <w:rFonts w:ascii="Calibri" w:hAnsi="Calibri" w:cs="Calibri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line="360" w:lineRule="auto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Cambria" w:hAnsi="Cambria" w:cs="Cambria"/>
      <w:b/>
      <w:bCs/>
      <w:kern w:val="32"/>
      <w:sz w:val="32"/>
      <w:szCs w:val="32"/>
      <w:lang w:val="es-ES_tradnl" w:eastAsia="en-US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Cambria" w:hAnsi="Cambria" w:cs="Cambria"/>
      <w:b/>
      <w:bCs/>
      <w:i/>
      <w:iCs/>
      <w:sz w:val="28"/>
      <w:szCs w:val="28"/>
      <w:lang w:val="es-ES_tradnl" w:eastAsia="en-U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hAnsi="Calibri" w:cs="Calibri"/>
      <w:lang w:val="es-ES_tradnl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Pr>
      <w:rFonts w:ascii="Calibri" w:hAnsi="Calibri" w:cs="Calibri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707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13-17-1-0001078</vt:lpstr>
    </vt:vector>
  </TitlesOfParts>
  <Company>Tribunal de Cuentas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13-17-1-0001078</dc:title>
  <dc:subject/>
  <dc:creator>SANDRA SYLVIA CLADERA MENCK</dc:creator>
  <cp:keywords/>
  <dc:description/>
  <cp:lastModifiedBy>tribunal1</cp:lastModifiedBy>
  <cp:revision>7</cp:revision>
  <cp:lastPrinted>2014-06-13T14:09:00Z</cp:lastPrinted>
  <dcterms:created xsi:type="dcterms:W3CDTF">2014-07-01T21:25:00Z</dcterms:created>
  <dcterms:modified xsi:type="dcterms:W3CDTF">2014-07-02T18:50:00Z</dcterms:modified>
</cp:coreProperties>
</file>