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2C" w:rsidRPr="00AA602C" w:rsidRDefault="00AA602C" w:rsidP="00AA602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AA602C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AA602C" w:rsidRPr="00AA602C" w:rsidRDefault="00AA602C" w:rsidP="00AA602C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AA602C" w:rsidRPr="00AA602C" w:rsidRDefault="00AA602C" w:rsidP="00AA602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AA602C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AA602C" w:rsidRPr="00AA602C" w:rsidRDefault="00AA602C" w:rsidP="00AA602C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AA602C" w:rsidRPr="00AA602C" w:rsidRDefault="00AA602C" w:rsidP="00AA602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AA602C">
        <w:rPr>
          <w:rFonts w:ascii="Helvetica" w:hAnsi="Helvetica"/>
          <w:b/>
          <w:sz w:val="24"/>
          <w:szCs w:val="24"/>
          <w:lang w:val="es-ES_tradnl"/>
        </w:rPr>
        <w:t>EN SESION DE FECHA 11 DE JUNIO DE 2014</w:t>
      </w:r>
    </w:p>
    <w:p w:rsidR="00AA602C" w:rsidRPr="00AA602C" w:rsidRDefault="00AA602C" w:rsidP="00AA602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AA602C" w:rsidRPr="00A9069F" w:rsidRDefault="00AA602C" w:rsidP="00AA602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UY"/>
        </w:rPr>
      </w:pPr>
      <w:r w:rsidRPr="00A9069F">
        <w:rPr>
          <w:rFonts w:ascii="Helvetica" w:hAnsi="Helvetica"/>
          <w:b/>
          <w:sz w:val="24"/>
          <w:szCs w:val="24"/>
          <w:lang w:val="es-UY"/>
        </w:rPr>
        <w:t>(E. E. Nº 2013-17-1-0004373, Ent. N° 3060/14)</w:t>
      </w:r>
    </w:p>
    <w:p w:rsidR="00AA602C" w:rsidRDefault="00AA602C">
      <w:pPr>
        <w:ind w:firstLine="113"/>
        <w:jc w:val="both"/>
        <w:rPr>
          <w:rFonts w:ascii="Arial" w:hAnsi="Arial" w:cs="Arial"/>
          <w:b/>
          <w:bCs/>
          <w:sz w:val="24"/>
          <w:szCs w:val="24"/>
        </w:rPr>
      </w:pPr>
    </w:p>
    <w:p w:rsidR="00A9069F" w:rsidRDefault="00D80548" w:rsidP="00A9069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 w:rsidR="00A9069F">
        <w:rPr>
          <w:rFonts w:ascii="Arial" w:hAnsi="Arial" w:cs="Arial"/>
          <w:sz w:val="24"/>
          <w:szCs w:val="24"/>
        </w:rPr>
        <w:t>la N</w:t>
      </w:r>
      <w:r>
        <w:rPr>
          <w:rFonts w:ascii="Arial" w:hAnsi="Arial" w:cs="Arial"/>
          <w:sz w:val="24"/>
          <w:szCs w:val="24"/>
        </w:rPr>
        <w:t>ota de fecha 20 de mayo de 2014 remitida por la Contadora Delegada del Tribunal de Cuentas en la Facultad de Humanidades y Ciencias de la Educación de la Universidad de la República, referente a dos observaciones al procedimiento de rendición de las parti</w:t>
      </w:r>
      <w:r w:rsidR="00A9069F">
        <w:rPr>
          <w:rFonts w:ascii="Arial" w:hAnsi="Arial" w:cs="Arial"/>
          <w:sz w:val="24"/>
          <w:szCs w:val="24"/>
        </w:rPr>
        <w:t>das para gastos prevista en el A</w:t>
      </w:r>
      <w:r>
        <w:rPr>
          <w:rFonts w:ascii="Arial" w:hAnsi="Arial" w:cs="Arial"/>
          <w:sz w:val="24"/>
          <w:szCs w:val="24"/>
        </w:rPr>
        <w:t>rtículo 57 de</w:t>
      </w:r>
      <w:r w:rsidR="00A9069F">
        <w:rPr>
          <w:rFonts w:ascii="Arial" w:hAnsi="Arial" w:cs="Arial"/>
          <w:sz w:val="24"/>
          <w:szCs w:val="24"/>
        </w:rPr>
        <w:t>l Estatuto del Personal Docente;</w:t>
      </w:r>
    </w:p>
    <w:p w:rsidR="00D80548" w:rsidRDefault="00D80548" w:rsidP="00A9069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A9069F">
        <w:rPr>
          <w:rFonts w:ascii="Arial" w:hAnsi="Arial" w:cs="Arial"/>
          <w:sz w:val="24"/>
          <w:szCs w:val="24"/>
        </w:rPr>
        <w:t>que por dicha N</w:t>
      </w:r>
      <w:r>
        <w:rPr>
          <w:rFonts w:ascii="Arial" w:hAnsi="Arial" w:cs="Arial"/>
          <w:sz w:val="24"/>
          <w:szCs w:val="24"/>
        </w:rPr>
        <w:t xml:space="preserve">ota se pone en conocimiento de este Tribunal dos observaciones al procedimiento de rendición de la partida </w:t>
      </w:r>
      <w:r w:rsidR="00A9069F">
        <w:rPr>
          <w:rFonts w:ascii="Arial" w:hAnsi="Arial" w:cs="Arial"/>
          <w:sz w:val="24"/>
          <w:szCs w:val="24"/>
        </w:rPr>
        <w:t>para gastos correspondiente al A</w:t>
      </w:r>
      <w:r>
        <w:rPr>
          <w:rFonts w:ascii="Arial" w:hAnsi="Arial" w:cs="Arial"/>
          <w:sz w:val="24"/>
          <w:szCs w:val="24"/>
        </w:rPr>
        <w:t>rtículo 57 del Estatuto del Personal Docente de la Universidad de la República, realizadas por la Contadora Delegada del Tribunal de Cuentas en la Facultad de Humanidades y Ciencias de la Educación, abonadas en el mes d</w:t>
      </w:r>
      <w:r w:rsidR="00A9069F">
        <w:rPr>
          <w:rFonts w:ascii="Arial" w:hAnsi="Arial" w:cs="Arial"/>
          <w:sz w:val="24"/>
          <w:szCs w:val="24"/>
        </w:rPr>
        <w:t>e febrero de 2014, de acuerdo con el</w:t>
      </w:r>
      <w:r>
        <w:rPr>
          <w:rFonts w:ascii="Arial" w:hAnsi="Arial" w:cs="Arial"/>
          <w:sz w:val="24"/>
          <w:szCs w:val="24"/>
        </w:rPr>
        <w:t xml:space="preserve"> siguiente detalle:</w:t>
      </w:r>
    </w:p>
    <w:p w:rsidR="009F7B0B" w:rsidRDefault="009F7B0B" w:rsidP="00A9069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843"/>
        <w:gridCol w:w="1701"/>
      </w:tblGrid>
      <w:tr w:rsidR="00D80548" w:rsidTr="009F7B0B">
        <w:trPr>
          <w:trHeight w:val="266"/>
        </w:trPr>
        <w:tc>
          <w:tcPr>
            <w:tcW w:w="3544" w:type="dxa"/>
          </w:tcPr>
          <w:p w:rsidR="00D80548" w:rsidRDefault="00D8054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MOTIVO</w:t>
            </w:r>
          </w:p>
        </w:tc>
        <w:tc>
          <w:tcPr>
            <w:tcW w:w="1843" w:type="dxa"/>
          </w:tcPr>
          <w:p w:rsidR="00D80548" w:rsidRDefault="00D805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CANTIDAD</w:t>
            </w:r>
          </w:p>
        </w:tc>
        <w:tc>
          <w:tcPr>
            <w:tcW w:w="1701" w:type="dxa"/>
          </w:tcPr>
          <w:p w:rsidR="00D80548" w:rsidRDefault="00D8054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IMPORTE ($)</w:t>
            </w:r>
          </w:p>
        </w:tc>
      </w:tr>
      <w:tr w:rsidR="00D80548" w:rsidTr="009F7B0B">
        <w:trPr>
          <w:trHeight w:val="266"/>
        </w:trPr>
        <w:tc>
          <w:tcPr>
            <w:tcW w:w="3544" w:type="dxa"/>
          </w:tcPr>
          <w:p w:rsidR="00D80548" w:rsidRDefault="00D805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Artículo 132 TOCAF Decreto 150/2012</w:t>
            </w:r>
          </w:p>
        </w:tc>
        <w:tc>
          <w:tcPr>
            <w:tcW w:w="1843" w:type="dxa"/>
          </w:tcPr>
          <w:p w:rsidR="00D80548" w:rsidRDefault="00D805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80548" w:rsidRDefault="00D805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569.059</w:t>
            </w:r>
          </w:p>
        </w:tc>
      </w:tr>
      <w:tr w:rsidR="00D80548" w:rsidTr="009F7B0B">
        <w:trPr>
          <w:trHeight w:val="266"/>
        </w:trPr>
        <w:tc>
          <w:tcPr>
            <w:tcW w:w="3544" w:type="dxa"/>
          </w:tcPr>
          <w:p w:rsidR="00D80548" w:rsidRDefault="00D805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0548" w:rsidRDefault="00D805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80548" w:rsidRDefault="00D805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881.478</w:t>
            </w:r>
          </w:p>
        </w:tc>
      </w:tr>
      <w:tr w:rsidR="00D80548" w:rsidTr="009F7B0B">
        <w:trPr>
          <w:trHeight w:val="281"/>
        </w:trPr>
        <w:tc>
          <w:tcPr>
            <w:tcW w:w="3544" w:type="dxa"/>
          </w:tcPr>
          <w:p w:rsidR="00D80548" w:rsidRDefault="00D8054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3" w:type="dxa"/>
          </w:tcPr>
          <w:p w:rsidR="00D80548" w:rsidRDefault="00D805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80548" w:rsidRDefault="00A906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1:</w:t>
            </w:r>
            <w:r w:rsidR="00D80548">
              <w:rPr>
                <w:rFonts w:ascii="Arial" w:hAnsi="Arial" w:cs="Arial"/>
                <w:b/>
                <w:bCs/>
                <w:sz w:val="24"/>
                <w:szCs w:val="24"/>
              </w:rPr>
              <w:t>450.537</w:t>
            </w:r>
          </w:p>
        </w:tc>
      </w:tr>
    </w:tbl>
    <w:p w:rsidR="00D80548" w:rsidRDefault="00D805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A9069F" w:rsidRDefault="00D80548" w:rsidP="00A9069F">
      <w:pPr>
        <w:spacing w:after="0"/>
        <w:ind w:firstLine="851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 w:rsidR="00A9069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que resultan fundados los motivos expuestos por la</w:t>
      </w:r>
      <w:r>
        <w:rPr>
          <w:rFonts w:ascii="Arial" w:hAnsi="Arial" w:cs="Arial"/>
          <w:sz w:val="24"/>
          <w:szCs w:val="24"/>
          <w:lang w:val="es-UY"/>
        </w:rPr>
        <w:t xml:space="preserve"> Contadora Delegada para no aprobar el procedimiento de rendición referido;</w:t>
      </w:r>
    </w:p>
    <w:p w:rsidR="00A9069F" w:rsidRDefault="00D80548" w:rsidP="00FC5C65">
      <w:pPr>
        <w:spacing w:after="0"/>
        <w:ind w:firstLine="2977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2) </w:t>
      </w:r>
      <w:r>
        <w:rPr>
          <w:rFonts w:ascii="Arial" w:hAnsi="Arial" w:cs="Arial"/>
          <w:sz w:val="24"/>
          <w:szCs w:val="24"/>
          <w:lang w:val="es-UY"/>
        </w:rPr>
        <w:t>que no obstante por Oficio Nº 7114/13 de fecha 16 de setiembre de 2013, este Tribunal comunicó a la Universidad de la República el criterio respecto al procedimiento que se debe cumplir a los efectos de la rendición de cuentas de dicha partida;</w:t>
      </w:r>
    </w:p>
    <w:p w:rsidR="00A9069F" w:rsidRDefault="00D80548" w:rsidP="00FC5C65">
      <w:pPr>
        <w:spacing w:after="0"/>
        <w:ind w:firstLine="2977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lastRenderedPageBreak/>
        <w:t xml:space="preserve">3) </w:t>
      </w:r>
      <w:r>
        <w:rPr>
          <w:rFonts w:ascii="Arial" w:hAnsi="Arial" w:cs="Arial"/>
          <w:sz w:val="24"/>
          <w:szCs w:val="24"/>
          <w:lang w:val="es-UY"/>
        </w:rPr>
        <w:t>que este Tribunal entiende que una partida puede ser rendida, aunque no esté ejecutada en su totalidad, siempre que se informe en forma documentada o comprobable respecto a la totalidad de los fondos;</w:t>
      </w:r>
    </w:p>
    <w:p w:rsidR="00D80548" w:rsidRDefault="00D80548" w:rsidP="00FC5C65">
      <w:pPr>
        <w:spacing w:after="0"/>
        <w:ind w:firstLine="2977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4) </w:t>
      </w:r>
      <w:r>
        <w:rPr>
          <w:rFonts w:ascii="Arial" w:hAnsi="Arial" w:cs="Arial"/>
          <w:sz w:val="24"/>
          <w:szCs w:val="24"/>
          <w:lang w:val="es-UY"/>
        </w:rPr>
        <w:t>que la Universidad deberá cumplir con el procedimiento definido en Sesión Ordinaria del Consejo Directivo Central de fecha 25 de marzo de 2014 a través de la C.D.C. 201/14 (Instructivo para la Rendición de Cuentas de la Partida establecida por el Artículo 57 del</w:t>
      </w:r>
      <w:r w:rsidR="00A9069F">
        <w:rPr>
          <w:rFonts w:ascii="Arial" w:hAnsi="Arial" w:cs="Arial"/>
          <w:sz w:val="24"/>
          <w:szCs w:val="24"/>
          <w:lang w:val="es-UY"/>
        </w:rPr>
        <w:t xml:space="preserve"> Estatuto del Personal Docente);</w:t>
      </w:r>
    </w:p>
    <w:p w:rsidR="00D80548" w:rsidRDefault="00D80548" w:rsidP="00A9069F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ATENTO: </w:t>
      </w:r>
      <w:r>
        <w:rPr>
          <w:rFonts w:ascii="Arial" w:hAnsi="Arial" w:cs="Arial"/>
          <w:sz w:val="24"/>
          <w:szCs w:val="24"/>
          <w:lang w:val="es-UY"/>
        </w:rPr>
        <w:t>a lo expuesto precedent</w:t>
      </w:r>
      <w:r w:rsidR="00A9069F">
        <w:rPr>
          <w:rFonts w:ascii="Arial" w:hAnsi="Arial" w:cs="Arial"/>
          <w:sz w:val="24"/>
          <w:szCs w:val="24"/>
          <w:lang w:val="es-UY"/>
        </w:rPr>
        <w:t>emente y a lo dispuesto por el A</w:t>
      </w:r>
      <w:r>
        <w:rPr>
          <w:rFonts w:ascii="Arial" w:hAnsi="Arial" w:cs="Arial"/>
          <w:sz w:val="24"/>
          <w:szCs w:val="24"/>
          <w:lang w:val="es-UY"/>
        </w:rPr>
        <w:t>rt</w:t>
      </w:r>
      <w:r w:rsidR="00A9069F">
        <w:rPr>
          <w:rFonts w:ascii="Arial" w:hAnsi="Arial" w:cs="Arial"/>
          <w:sz w:val="24"/>
          <w:szCs w:val="24"/>
          <w:lang w:val="es-UY"/>
        </w:rPr>
        <w:t>ículo</w:t>
      </w:r>
      <w:r>
        <w:rPr>
          <w:rFonts w:ascii="Arial" w:hAnsi="Arial" w:cs="Arial"/>
          <w:sz w:val="24"/>
          <w:szCs w:val="24"/>
          <w:lang w:val="es-UY"/>
        </w:rPr>
        <w:t xml:space="preserve"> 211 Lit</w:t>
      </w:r>
      <w:r w:rsidR="00A9069F">
        <w:rPr>
          <w:rFonts w:ascii="Arial" w:hAnsi="Arial" w:cs="Arial"/>
          <w:sz w:val="24"/>
          <w:szCs w:val="24"/>
          <w:lang w:val="es-UY"/>
        </w:rPr>
        <w:t>eral</w:t>
      </w:r>
      <w:r>
        <w:rPr>
          <w:rFonts w:ascii="Arial" w:hAnsi="Arial" w:cs="Arial"/>
          <w:sz w:val="24"/>
          <w:szCs w:val="24"/>
          <w:lang w:val="es-UY"/>
        </w:rPr>
        <w:t xml:space="preserve"> E) de la Constitución de la República;</w:t>
      </w:r>
    </w:p>
    <w:p w:rsidR="00D80548" w:rsidRDefault="00D80548">
      <w:pPr>
        <w:autoSpaceDE w:val="0"/>
        <w:autoSpaceDN w:val="0"/>
        <w:adjustRightInd w:val="0"/>
        <w:spacing w:after="0"/>
        <w:ind w:firstLine="113"/>
        <w:jc w:val="center"/>
        <w:rPr>
          <w:rFonts w:ascii="Arial" w:hAnsi="Arial" w:cs="Arial"/>
          <w:b/>
          <w:bCs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>EL TRIBUNAL ACUERDA</w:t>
      </w:r>
    </w:p>
    <w:p w:rsidR="00D80548" w:rsidRPr="00A9069F" w:rsidRDefault="00D80548" w:rsidP="00A9069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UY"/>
        </w:rPr>
      </w:pPr>
      <w:r w:rsidRPr="00A9069F">
        <w:rPr>
          <w:rFonts w:ascii="Arial" w:hAnsi="Arial" w:cs="Arial"/>
          <w:sz w:val="24"/>
          <w:szCs w:val="24"/>
          <w:lang w:val="es-UY"/>
        </w:rPr>
        <w:t>Ratificar lo actuado por la Contadora Delegada en la Facultad de Humanidades y Ciencias de la Educación de la Universidad de la República respecto a la Rendición de Cuentas</w:t>
      </w:r>
      <w:r w:rsidR="00A9069F">
        <w:rPr>
          <w:rFonts w:ascii="Arial" w:hAnsi="Arial" w:cs="Arial"/>
          <w:sz w:val="24"/>
          <w:szCs w:val="24"/>
          <w:lang w:val="es-UY"/>
        </w:rPr>
        <w:t xml:space="preserve"> de la partida para gastos del A</w:t>
      </w:r>
      <w:r w:rsidRPr="00A9069F">
        <w:rPr>
          <w:rFonts w:ascii="Arial" w:hAnsi="Arial" w:cs="Arial"/>
          <w:sz w:val="24"/>
          <w:szCs w:val="24"/>
          <w:lang w:val="es-UY"/>
        </w:rPr>
        <w:t>rtículo 57 Inciso 2 del Estatuto del Personal Docente;</w:t>
      </w:r>
    </w:p>
    <w:p w:rsidR="00D80548" w:rsidRDefault="00D8054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Téngase presente lo expresado en los Considerandos 2), 3) y 4);</w:t>
      </w:r>
    </w:p>
    <w:p w:rsidR="00D80548" w:rsidRDefault="00D8054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Comunicar a la Facultad de Humanidades y Ciencias de la Educación y a la Contadora Delegada;</w:t>
      </w:r>
    </w:p>
    <w:p w:rsidR="00D80548" w:rsidRDefault="00D8054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Dar cuenta a la Asamblea General.</w:t>
      </w:r>
    </w:p>
    <w:p w:rsidR="00A9069F" w:rsidRDefault="00A9069F" w:rsidP="00A9069F">
      <w:pPr>
        <w:autoSpaceDE w:val="0"/>
        <w:autoSpaceDN w:val="0"/>
        <w:adjustRightInd w:val="0"/>
        <w:spacing w:after="0"/>
        <w:ind w:hanging="142"/>
        <w:jc w:val="both"/>
        <w:rPr>
          <w:rFonts w:ascii="Arial" w:hAnsi="Arial" w:cs="Arial"/>
          <w:sz w:val="24"/>
          <w:szCs w:val="24"/>
          <w:lang w:val="es-UY"/>
        </w:rPr>
      </w:pPr>
      <w:proofErr w:type="gramStart"/>
      <w:r>
        <w:rPr>
          <w:rFonts w:ascii="Arial" w:hAnsi="Arial" w:cs="Arial"/>
          <w:sz w:val="24"/>
          <w:szCs w:val="24"/>
          <w:lang w:val="es-UY"/>
        </w:rPr>
        <w:t>dc</w:t>
      </w:r>
      <w:proofErr w:type="gramEnd"/>
    </w:p>
    <w:sectPr w:rsidR="00A9069F" w:rsidSect="00A9069F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9F" w:rsidRDefault="00A90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9069F" w:rsidRDefault="00A90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9F" w:rsidRDefault="00A90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9069F" w:rsidRDefault="00A90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738"/>
    <w:multiLevelType w:val="hybridMultilevel"/>
    <w:tmpl w:val="E092C2A0"/>
    <w:lvl w:ilvl="0" w:tplc="236C6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4DC40C74"/>
    <w:multiLevelType w:val="hybridMultilevel"/>
    <w:tmpl w:val="CEF29020"/>
    <w:lvl w:ilvl="0" w:tplc="BD8400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48"/>
    <w:rsid w:val="009F7B0B"/>
    <w:rsid w:val="00A9069F"/>
    <w:rsid w:val="00AA602C"/>
    <w:rsid w:val="00D80548"/>
    <w:rsid w:val="00FC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360" w:lineRule="auto"/>
    </w:pPr>
    <w:rPr>
      <w:rFonts w:ascii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after="0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0548"/>
    <w:rPr>
      <w:rFonts w:asciiTheme="majorHAnsi" w:eastAsiaTheme="majorEastAsia" w:hAnsiTheme="majorHAnsi" w:cstheme="majorBidi"/>
      <w:b/>
      <w:bCs/>
      <w:kern w:val="32"/>
      <w:sz w:val="32"/>
      <w:szCs w:val="32"/>
      <w:lang w:val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360" w:lineRule="auto"/>
    </w:pPr>
    <w:rPr>
      <w:rFonts w:ascii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after="0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0548"/>
    <w:rPr>
      <w:rFonts w:asciiTheme="majorHAnsi" w:eastAsiaTheme="majorEastAsia" w:hAnsiTheme="majorHAnsi" w:cstheme="majorBidi"/>
      <w:b/>
      <w:bCs/>
      <w:kern w:val="32"/>
      <w:sz w:val="32"/>
      <w:szCs w:val="32"/>
      <w:lang w:val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2111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EE</vt:lpstr>
    </vt:vector>
  </TitlesOfParts>
  <Company>TCR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</dc:title>
  <dc:subject/>
  <dc:creator>Tribunal 1</dc:creator>
  <cp:keywords/>
  <dc:description/>
  <cp:lastModifiedBy> </cp:lastModifiedBy>
  <cp:revision>3</cp:revision>
  <cp:lastPrinted>2013-10-08T13:07:00Z</cp:lastPrinted>
  <dcterms:created xsi:type="dcterms:W3CDTF">2014-06-17T18:29:00Z</dcterms:created>
  <dcterms:modified xsi:type="dcterms:W3CDTF">2014-07-14T20:41:00Z</dcterms:modified>
</cp:coreProperties>
</file>