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6A" w:rsidRDefault="00652A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52A6A" w:rsidRDefault="00652A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2A6A" w:rsidRDefault="00652A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52A6A" w:rsidRDefault="00652A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2A6A" w:rsidRDefault="00652A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JUNIO DE 2014</w:t>
      </w:r>
    </w:p>
    <w:p w:rsidR="00652A6A" w:rsidRDefault="00652A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2A6A" w:rsidRPr="00652A6A" w:rsidRDefault="00652A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52A6A">
        <w:rPr>
          <w:rFonts w:ascii="Helvetica" w:hAnsi="Helvetica"/>
          <w:b/>
          <w:lang w:val="es-UY"/>
        </w:rPr>
        <w:t xml:space="preserve">(E. E. Nº 2014-17-1-0003877, </w:t>
      </w:r>
      <w:proofErr w:type="spellStart"/>
      <w:r w:rsidRPr="00652A6A">
        <w:rPr>
          <w:rFonts w:ascii="Helvetica" w:hAnsi="Helvetica"/>
          <w:b/>
          <w:lang w:val="es-UY"/>
        </w:rPr>
        <w:t>Ent</w:t>
      </w:r>
      <w:proofErr w:type="spellEnd"/>
      <w:r w:rsidRPr="00652A6A">
        <w:rPr>
          <w:rFonts w:ascii="Helvetica" w:hAnsi="Helvetica"/>
          <w:b/>
          <w:lang w:val="es-UY"/>
        </w:rPr>
        <w:t>. N° 2934/14.)</w:t>
      </w:r>
    </w:p>
    <w:p w:rsidR="00652A6A" w:rsidRPr="00652A6A" w:rsidRDefault="00652A6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00000" w:rsidRDefault="00652A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1721A">
        <w:rPr>
          <w:rFonts w:ascii="Arial" w:hAnsi="Arial" w:cs="Arial"/>
          <w:b/>
        </w:rPr>
        <w:t>VISTO</w:t>
      </w:r>
      <w:r w:rsidR="00B1721A">
        <w:rPr>
          <w:rFonts w:ascii="Arial" w:hAnsi="Arial" w:cs="Arial"/>
        </w:rPr>
        <w:t>: las actuaciones remitidas por la Agencia para el Desarrollo del Gobierno de Gestión Electrónica y la Sociedad de la Informac</w:t>
      </w:r>
      <w:r w:rsidR="00B1721A">
        <w:rPr>
          <w:rFonts w:ascii="Arial" w:hAnsi="Arial" w:cs="Arial"/>
        </w:rPr>
        <w:t>ión y del Conocimiento (AGESIC) relacionadas con los convenios suscritos con la Administración Nacional de Correos (ANC);</w:t>
      </w:r>
    </w:p>
    <w:p w:rsidR="00000000" w:rsidRDefault="00652A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1721A">
        <w:rPr>
          <w:rFonts w:ascii="Arial" w:hAnsi="Arial" w:cs="Arial"/>
          <w:b/>
        </w:rPr>
        <w:t>RESULTANDO</w:t>
      </w:r>
      <w:r w:rsidR="00B1721A">
        <w:rPr>
          <w:rFonts w:ascii="Arial" w:hAnsi="Arial" w:cs="Arial"/>
        </w:rPr>
        <w:t xml:space="preserve">: </w:t>
      </w:r>
      <w:r w:rsidR="00B1721A">
        <w:rPr>
          <w:rFonts w:ascii="Arial" w:hAnsi="Arial" w:cs="Arial"/>
          <w:b/>
        </w:rPr>
        <w:t>1)</w:t>
      </w:r>
      <w:r w:rsidR="00B1721A">
        <w:rPr>
          <w:rFonts w:ascii="Arial" w:hAnsi="Arial" w:cs="Arial"/>
        </w:rPr>
        <w:t xml:space="preserve"> que con fecha 27 de enero de 2011, la Agencia para el Desarrollo del Gobierno de Gestión Electrónica y la Sociedad de l</w:t>
      </w:r>
      <w:r w:rsidR="00B1721A">
        <w:rPr>
          <w:rFonts w:ascii="Arial" w:hAnsi="Arial" w:cs="Arial"/>
        </w:rPr>
        <w:t xml:space="preserve">a Información y del Conocimiento y Administración Nacional de Correos, suscribieron un convenio marco, a efectos de establecer un ámbito de actuación conjunta en actividades de interés común para ambas instituciones, así como para los intereses superiores </w:t>
      </w:r>
      <w:r w:rsidR="00B1721A">
        <w:rPr>
          <w:rFonts w:ascii="Arial" w:hAnsi="Arial" w:cs="Arial"/>
        </w:rPr>
        <w:t>del Estado, previniéndose que las partes acordarían nuevos convenios específicos en diversas áreas de colaboración;</w:t>
      </w:r>
    </w:p>
    <w:p w:rsidR="00000000" w:rsidRDefault="00B1721A" w:rsidP="00652A6A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con fecha 14 de febrero de 2014, ambas entidades suscribieron un acuerdo específico de cooperación institucional, con el objeto de</w:t>
      </w:r>
      <w:r>
        <w:rPr>
          <w:rFonts w:ascii="Arial" w:hAnsi="Arial" w:cs="Arial"/>
        </w:rPr>
        <w:t xml:space="preserve"> que AGESIC transfiera a la ANC, la gestión operativa de los Centros de Atención Ciudadana (CAC), cuyo detalle se adjunta en el Anexo “A” del acuerdo;</w:t>
      </w:r>
    </w:p>
    <w:p w:rsidR="00000000" w:rsidRDefault="00B1721A" w:rsidP="00652A6A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de conformidad a lo dispuesto en la cláusula tercera del convenio, ambas partes se comprometen a</w:t>
      </w:r>
      <w:r>
        <w:rPr>
          <w:rFonts w:ascii="Arial" w:hAnsi="Arial" w:cs="Arial"/>
        </w:rPr>
        <w:t>: i) proporcionarse en forma oportuna, los datos y la información requerida para la transferencia de los CAC; ii) cumplir con las demás obligaciones que se establezcan en cada documento que se suscriba, en relación con las acciones requeridas para la gesti</w:t>
      </w:r>
      <w:r>
        <w:rPr>
          <w:rFonts w:ascii="Arial" w:hAnsi="Arial" w:cs="Arial"/>
        </w:rPr>
        <w:t xml:space="preserve">ón de los CAC; iii) regularizar la situación jurídica de los inmuebles donde operan los CAC, suscribiendo los documentos correspondientes y realizando </w:t>
      </w:r>
      <w:r>
        <w:rPr>
          <w:rFonts w:ascii="Arial" w:hAnsi="Arial" w:cs="Arial"/>
        </w:rPr>
        <w:lastRenderedPageBreak/>
        <w:t>las acciones necesarias a esos efectos; iv) coordinar con las Intendencias el mantenimiento o el aumento,</w:t>
      </w:r>
      <w:r>
        <w:rPr>
          <w:rFonts w:ascii="Arial" w:hAnsi="Arial" w:cs="Arial"/>
        </w:rPr>
        <w:t xml:space="preserve"> en caso de ser requerido, de la dotación de funcionarios de las mismas, necesarios para garantizar el nivel de atención estipulado en el  modelo de atención a ser proporcionado por AGESIC; y v) conformar una comisión técnica y jurídica, con el objetivo de</w:t>
      </w:r>
      <w:r>
        <w:rPr>
          <w:rFonts w:ascii="Arial" w:hAnsi="Arial" w:cs="Arial"/>
        </w:rPr>
        <w:t xml:space="preserve"> proponer alternativas a futuro para la gestión y administración de los proyectos objeto del acuerdo;</w:t>
      </w:r>
    </w:p>
    <w:p w:rsidR="00000000" w:rsidRDefault="00B1721A" w:rsidP="00652A6A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sin perjuicio de ello, AGESIC se compromete a: i) transferir a la ANC la gestión operativa de los CAC establecidos en el Anexo “A” del acuerdo, a</w:t>
      </w:r>
      <w:r>
        <w:rPr>
          <w:rFonts w:ascii="Arial" w:hAnsi="Arial" w:cs="Arial"/>
        </w:rPr>
        <w:t>sí como el equipamiento allí existente (mobiliario y tecnológico); ii) proveer el Modelo de Atención Ciudadana; iii) proveer capacitación y asesoramiento técnico, con el fin de contribuir al fortalecimiento de las capacidades de la ANC, necesarias para eje</w:t>
      </w:r>
      <w:r>
        <w:rPr>
          <w:rFonts w:ascii="Arial" w:hAnsi="Arial" w:cs="Arial"/>
        </w:rPr>
        <w:t>cutar los nuevos servicios que se presten a la ciudadanía; iv) disponer de una Mesa de Ayuda Nivel 2, con el objetivo de brindar soporte técnico y funcional; y en caso que se requiera atención de terceros, AGESIC oficiará como integrador derivando y siguie</w:t>
      </w:r>
      <w:r>
        <w:rPr>
          <w:rFonts w:ascii="Arial" w:hAnsi="Arial" w:cs="Arial"/>
        </w:rPr>
        <w:t>ndo el mismo hasta su resolución; y v) proporcionar la información relativa a la situación jurídica actual de los locales donde operan los CAC;</w:t>
      </w:r>
    </w:p>
    <w:p w:rsidR="00000000" w:rsidRDefault="00B1721A" w:rsidP="00652A6A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 por su parte la ANC se compromete asimismo a: i) realizar la gestión operativa de los CAC que lucen en </w:t>
      </w:r>
      <w:r>
        <w:rPr>
          <w:rFonts w:ascii="Arial" w:hAnsi="Arial" w:cs="Arial"/>
        </w:rPr>
        <w:t>el Anexo “A”; ii) adecuar los CAC, a través de la implementación del nuevo Modelo de Atención proporcionado por AGESIC; iii) facilitar la capacitación de los funcionarios asignados; iv) asegurar la continuidad del funcionamiento de los locales establecidos</w:t>
      </w:r>
      <w:r>
        <w:rPr>
          <w:rFonts w:ascii="Arial" w:hAnsi="Arial" w:cs="Arial"/>
        </w:rPr>
        <w:t xml:space="preserve"> en el Anexo “A”, salvo razones de fuerza mayor o caso fortuito; v) realizar el mantenimiento de los inmuebles, dando cumplimiento a los estándares, buenas prácticas y procedimientos requeridos por AGESIC, asumiendo los costos de funcionamiento necesarios;</w:t>
      </w:r>
      <w:r>
        <w:rPr>
          <w:rFonts w:ascii="Arial" w:hAnsi="Arial" w:cs="Arial"/>
        </w:rPr>
        <w:t xml:space="preserve"> vi) realizar el mantenimiento mobiliario y de equipamiento informático; vii) realizar la gestión y la atención presencial requerida de todos los trámites y servicios que se </w:t>
      </w:r>
      <w:r>
        <w:rPr>
          <w:rFonts w:ascii="Arial" w:hAnsi="Arial" w:cs="Arial"/>
        </w:rPr>
        <w:lastRenderedPageBreak/>
        <w:t>prestan en los CAC; y viii) disponer de una Mesa de Ayuda de Nivel 1 y/o referente</w:t>
      </w:r>
      <w:r>
        <w:rPr>
          <w:rFonts w:ascii="Arial" w:hAnsi="Arial" w:cs="Arial"/>
        </w:rPr>
        <w:t>s internos, con el objetivo de dar soporte técnico a los usuarios finales del Organismo;</w:t>
      </w:r>
    </w:p>
    <w:p w:rsidR="00000000" w:rsidRDefault="00B1721A" w:rsidP="00652A6A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de acuerdo a lo dispuesto en la cláusula sexta del acuerdo, el mismo tendrá una vigencia de 2 años a partir de su suscripción, renovándose automáticamente por </w:t>
      </w:r>
      <w:r>
        <w:rPr>
          <w:rFonts w:ascii="Arial" w:hAnsi="Arial" w:cs="Arial"/>
        </w:rPr>
        <w:t>iguales períodos;</w:t>
      </w:r>
    </w:p>
    <w:p w:rsidR="00000000" w:rsidRDefault="00B1721A" w:rsidP="00413346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7)</w:t>
      </w:r>
      <w:r>
        <w:rPr>
          <w:rFonts w:ascii="Arial" w:hAnsi="Arial" w:cs="Arial"/>
        </w:rPr>
        <w:t xml:space="preserve"> que en igual fecha, las partes referidas suscribieron un segundo convenio, cuyo objeto se estableció en fortalecer y mejorar la prestación de servicios de atención ciudadana brindados en los CAC (que se pasan a denominar PAC “Puntos d</w:t>
      </w:r>
      <w:r>
        <w:rPr>
          <w:rFonts w:ascii="Arial" w:hAnsi="Arial" w:cs="Arial"/>
        </w:rPr>
        <w:t>e Atención Ciudadana”), a través de la implementación del Modelo de Atención Ciudadana y la incorporación de nuevos canales e instrumentos de atención, según las necesidades y requerimientos de la población;</w:t>
      </w:r>
    </w:p>
    <w:p w:rsidR="00000000" w:rsidRDefault="00B1721A" w:rsidP="00413346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8)</w:t>
      </w:r>
      <w:r>
        <w:rPr>
          <w:rFonts w:ascii="Arial" w:hAnsi="Arial" w:cs="Arial"/>
        </w:rPr>
        <w:t xml:space="preserve">  que asimismo, las partes acuerdan que por e</w:t>
      </w:r>
      <w:r>
        <w:rPr>
          <w:rFonts w:ascii="Arial" w:hAnsi="Arial" w:cs="Arial"/>
        </w:rPr>
        <w:t>ste segundo documento, se establecen los términos y condiciones relativos a la implementación del Modelo proporcionado por AGESIC, la instalación y gestión de los PAC, el alcance de las responsabilidades de las partes y los mecanismos de auditoría y seguim</w:t>
      </w:r>
      <w:r>
        <w:rPr>
          <w:rFonts w:ascii="Arial" w:hAnsi="Arial" w:cs="Arial"/>
        </w:rPr>
        <w:t>iento de dicha gestión; fijándose los siguientes objetivos específicos: i) elaborar y definir en conjunto, un plan de trabajo a efectos de regular la ejecución, articulación y coordinación de todos los proyectos y actividades establecidas en el objeto; ii)</w:t>
      </w:r>
      <w:r>
        <w:rPr>
          <w:rFonts w:ascii="Arial" w:hAnsi="Arial" w:cs="Arial"/>
        </w:rPr>
        <w:t xml:space="preserve">  garantizar el crecimiento de la red de PAC, empleando la red física de la ANC en base a un mínimo de 25 puntos por año, distribuidos geográficamente en todo el territorio nacional; iii) instalar en forma coordinada los nuevos PAC en los locales de la ANC</w:t>
      </w:r>
      <w:r>
        <w:rPr>
          <w:rFonts w:ascii="Arial" w:hAnsi="Arial" w:cs="Arial"/>
        </w:rPr>
        <w:t xml:space="preserve"> que cumplan los criterios, estándares y modelos de atención proporcionados por AGESIC y en función de un cronograma que ser que será acordado por ambas partes; iv) realizar la operación y coordinación del mantenimiento del equipamiento provisto para el co</w:t>
      </w:r>
      <w:r>
        <w:rPr>
          <w:rFonts w:ascii="Arial" w:hAnsi="Arial" w:cs="Arial"/>
        </w:rPr>
        <w:t xml:space="preserve">rrecto funcionamiento de </w:t>
      </w:r>
      <w:r>
        <w:rPr>
          <w:rFonts w:ascii="Arial" w:hAnsi="Arial" w:cs="Arial"/>
        </w:rPr>
        <w:lastRenderedPageBreak/>
        <w:t>los Puntos mencionados; y v) generar capacidades en la ANC, particularmente, capacitación técnica para la operación de los referidos Puntos;</w:t>
      </w:r>
    </w:p>
    <w:p w:rsidR="00000000" w:rsidRDefault="00B1721A" w:rsidP="00413346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9)</w:t>
      </w:r>
      <w:r>
        <w:rPr>
          <w:rFonts w:ascii="Arial" w:hAnsi="Arial" w:cs="Arial"/>
        </w:rPr>
        <w:t xml:space="preserve"> que de conformidad a lo establecido en la cláusula séptima de este acuerdo, AGESIC se </w:t>
      </w:r>
      <w:r>
        <w:rPr>
          <w:rFonts w:ascii="Arial" w:hAnsi="Arial" w:cs="Arial"/>
        </w:rPr>
        <w:t>compromete a transferir a la ANC la suma de hasta U$S 300.000 anuales, durante el período 2014 y 2015, sujetos a rendición de cuentas conforme a lo dispuesto por la Ordenanza Nº 77 del Tribunal de Cuentas;</w:t>
      </w:r>
    </w:p>
    <w:p w:rsidR="00000000" w:rsidRDefault="00B1721A" w:rsidP="00413346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10)</w:t>
      </w:r>
      <w:r>
        <w:rPr>
          <w:rFonts w:ascii="Arial" w:hAnsi="Arial" w:cs="Arial"/>
        </w:rPr>
        <w:t xml:space="preserve"> que las partes acuerdan que este segundo conv</w:t>
      </w:r>
      <w:r>
        <w:rPr>
          <w:rFonts w:ascii="Arial" w:hAnsi="Arial" w:cs="Arial"/>
        </w:rPr>
        <w:t xml:space="preserve">enio tendrá también una duración de 2 años, sujeto a la condición de que el Tribunal de Cuentas intervenga preventivamente el gasto; </w:t>
      </w:r>
    </w:p>
    <w:p w:rsidR="00000000" w:rsidRDefault="00B1721A" w:rsidP="00413346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11)</w:t>
      </w:r>
      <w:r>
        <w:rPr>
          <w:rFonts w:ascii="Arial" w:hAnsi="Arial" w:cs="Arial"/>
        </w:rPr>
        <w:t xml:space="preserve"> que se remite Documento de Afectación Nº 000573, de 29/4/14, por intermedio del cual se imputa el monto de $ 7.292.25</w:t>
      </w:r>
      <w:r>
        <w:rPr>
          <w:rFonts w:ascii="Arial" w:hAnsi="Arial" w:cs="Arial"/>
        </w:rPr>
        <w:t xml:space="preserve">0, con cargo al </w:t>
      </w:r>
      <w:proofErr w:type="spellStart"/>
      <w:r>
        <w:rPr>
          <w:rFonts w:ascii="Arial" w:hAnsi="Arial" w:cs="Arial"/>
        </w:rPr>
        <w:t>Prog</w:t>
      </w:r>
      <w:proofErr w:type="spellEnd"/>
      <w:r>
        <w:rPr>
          <w:rFonts w:ascii="Arial" w:hAnsi="Arial" w:cs="Arial"/>
        </w:rPr>
        <w:t xml:space="preserve">. 484, Proy. 854, Objeto del Gasto 519 “Otras Transferencias Corrientes al Sector Público”, Financiamiento 1.1;  </w:t>
      </w:r>
      <w:r>
        <w:rPr>
          <w:rFonts w:ascii="Arial" w:hAnsi="Arial" w:cs="Arial"/>
          <w:b/>
        </w:rPr>
        <w:t xml:space="preserve">   </w:t>
      </w:r>
    </w:p>
    <w:p w:rsidR="00000000" w:rsidRDefault="00B1721A" w:rsidP="00413346">
      <w:pPr>
        <w:tabs>
          <w:tab w:val="left" w:pos="1843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12)</w:t>
      </w:r>
      <w:r>
        <w:rPr>
          <w:rFonts w:ascii="Arial" w:hAnsi="Arial" w:cs="Arial"/>
        </w:rPr>
        <w:t xml:space="preserve"> que se remite proyecto de Resolución de AGESIC, por intermedio de la cual se autoriza la transferencia de U$S 600.</w:t>
      </w:r>
      <w:r>
        <w:rPr>
          <w:rFonts w:ascii="Arial" w:hAnsi="Arial" w:cs="Arial"/>
        </w:rPr>
        <w:t xml:space="preserve">000, correspondiente a los </w:t>
      </w:r>
      <w:r w:rsidR="0041334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jercicios 2014 y 2015; </w:t>
      </w:r>
    </w:p>
    <w:p w:rsidR="00413346" w:rsidRDefault="00413346" w:rsidP="004133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1721A">
        <w:rPr>
          <w:rFonts w:ascii="Arial" w:hAnsi="Arial" w:cs="Arial"/>
          <w:b/>
          <w:bCs/>
        </w:rPr>
        <w:t>CONSIDERANDO: 1)</w:t>
      </w:r>
      <w:r w:rsidR="00B1721A">
        <w:rPr>
          <w:rFonts w:ascii="Arial" w:hAnsi="Arial" w:cs="Arial"/>
        </w:rPr>
        <w:t xml:space="preserve"> que de conformidad a lo dispuesto en el </w:t>
      </w:r>
      <w:r>
        <w:rPr>
          <w:rFonts w:ascii="Arial" w:hAnsi="Arial" w:cs="Arial"/>
        </w:rPr>
        <w:t>A</w:t>
      </w:r>
      <w:r w:rsidR="00B1721A">
        <w:rPr>
          <w:rFonts w:ascii="Arial" w:hAnsi="Arial" w:cs="Arial"/>
        </w:rPr>
        <w:t>rt</w:t>
      </w:r>
      <w:r>
        <w:rPr>
          <w:rFonts w:ascii="Arial" w:hAnsi="Arial" w:cs="Arial"/>
        </w:rPr>
        <w:t>ículo</w:t>
      </w:r>
      <w:r w:rsidR="00B1721A">
        <w:rPr>
          <w:rFonts w:ascii="Arial" w:hAnsi="Arial" w:cs="Arial"/>
        </w:rPr>
        <w:t xml:space="preserve"> 72 de la </w:t>
      </w:r>
      <w:r>
        <w:rPr>
          <w:rFonts w:ascii="Arial" w:hAnsi="Arial" w:cs="Arial"/>
        </w:rPr>
        <w:t>L</w:t>
      </w:r>
      <w:r w:rsidR="00B1721A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 xml:space="preserve">N° </w:t>
      </w:r>
      <w:r w:rsidR="00B1721A">
        <w:rPr>
          <w:rFonts w:ascii="Arial" w:hAnsi="Arial" w:cs="Arial"/>
        </w:rPr>
        <w:t>17.930, se creó la Agencia para el Desarrollo del Gobierno de Gestión Electrónica y la Sociedad de la Información y del Conocimie</w:t>
      </w:r>
      <w:r w:rsidR="00B1721A">
        <w:rPr>
          <w:rFonts w:ascii="Arial" w:hAnsi="Arial" w:cs="Arial"/>
        </w:rPr>
        <w:t>nto, como un órgano desconcentrado de la Presidencia de la República, destinado al desarrollo del Gobierno de la Gestión Electrónica y</w:t>
      </w:r>
      <w:r>
        <w:rPr>
          <w:rFonts w:ascii="Arial" w:hAnsi="Arial" w:cs="Arial"/>
        </w:rPr>
        <w:t xml:space="preserve"> la Sociedad de la Información;</w:t>
      </w:r>
    </w:p>
    <w:p w:rsidR="00413346" w:rsidRDefault="00413346" w:rsidP="0041334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721A">
        <w:rPr>
          <w:rFonts w:ascii="Arial" w:hAnsi="Arial" w:cs="Arial"/>
          <w:b/>
          <w:bCs/>
        </w:rPr>
        <w:t>2)</w:t>
      </w:r>
      <w:r w:rsidR="00B1721A">
        <w:rPr>
          <w:rFonts w:ascii="Arial" w:hAnsi="Arial" w:cs="Arial"/>
        </w:rPr>
        <w:t xml:space="preserve"> que en particular, el Decreto 307/007, de 27/8/07, establece en su Anexo, que la AGESI</w:t>
      </w:r>
      <w:r w:rsidR="00B1721A">
        <w:rPr>
          <w:rFonts w:ascii="Arial" w:hAnsi="Arial" w:cs="Arial"/>
        </w:rPr>
        <w:t>C tendrá entre sus objetivos estratégicos, el de coordinar o participar en la coordinación de proyectos específicos asociados al Gobierno Electrónico, así como fortalecer los vínculos con el sector académico, la sociedad civil y organizaciones internaciona</w:t>
      </w:r>
      <w:r w:rsidR="00B1721A">
        <w:rPr>
          <w:rFonts w:ascii="Arial" w:hAnsi="Arial" w:cs="Arial"/>
        </w:rPr>
        <w:t xml:space="preserve">les con fines </w:t>
      </w:r>
      <w:r w:rsidR="00B1721A">
        <w:rPr>
          <w:rFonts w:ascii="Arial" w:hAnsi="Arial" w:cs="Arial"/>
        </w:rPr>
        <w:lastRenderedPageBreak/>
        <w:t>similares, así como potenciar asociación entre el Estado y empresas, para el desarrollo del software nacional, entre otros;</w:t>
      </w:r>
    </w:p>
    <w:p w:rsidR="00413346" w:rsidRDefault="00B1721A" w:rsidP="0041334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de conformidad a lo establecido por el A</w:t>
      </w:r>
      <w:r>
        <w:rPr>
          <w:rFonts w:ascii="Arial" w:hAnsi="Arial" w:cs="Arial"/>
        </w:rPr>
        <w:t>rtículo</w:t>
      </w:r>
      <w:r>
        <w:rPr>
          <w:rFonts w:ascii="Arial" w:hAnsi="Arial" w:cs="Arial"/>
        </w:rPr>
        <w:t xml:space="preserve"> 747 de la Ley N° </w:t>
      </w:r>
      <w:bookmarkStart w:id="0" w:name="_GoBack"/>
      <w:bookmarkEnd w:id="0"/>
      <w:r>
        <w:rPr>
          <w:rFonts w:ascii="Arial" w:hAnsi="Arial" w:cs="Arial"/>
        </w:rPr>
        <w:t>16.736, se creó la Administración Nacional de Correo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, como Servicio Descentralizado, con el cometido de prestar servicios postales, transporte o distribución y entrega de envíos de correspondencia, giros postales y</w:t>
      </w:r>
      <w:r w:rsidR="00413346">
        <w:rPr>
          <w:rFonts w:ascii="Arial" w:hAnsi="Arial" w:cs="Arial"/>
        </w:rPr>
        <w:t xml:space="preserve"> productos postales en general;</w:t>
      </w:r>
    </w:p>
    <w:p w:rsidR="00413346" w:rsidRDefault="00B1721A" w:rsidP="0041334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lang w:val="es-MX"/>
        </w:rPr>
        <w:t>que la Ordenanza Nº 77 de este Tribunal regla</w:t>
      </w:r>
      <w:r>
        <w:rPr>
          <w:rFonts w:ascii="Arial" w:hAnsi="Arial" w:cs="Arial"/>
          <w:lang w:val="es-MX"/>
        </w:rPr>
        <w:t>menta la obligación de rendir cuenta documentada o comprobable de su versión, utilización o gestión de los fondos públicos o bienes del Estado percibidos en carácter de recaudador, depositario, pagador, administrador o custodia, con o sin autorización lega</w:t>
      </w:r>
      <w:r>
        <w:rPr>
          <w:rFonts w:ascii="Arial" w:hAnsi="Arial" w:cs="Arial"/>
          <w:lang w:val="es-MX"/>
        </w:rPr>
        <w:t>l prevista en los artículos 132 y siguientes del TOCAF;</w:t>
      </w:r>
      <w:r w:rsidR="00413346">
        <w:rPr>
          <w:rFonts w:ascii="Arial" w:hAnsi="Arial" w:cs="Arial"/>
        </w:rPr>
        <w:t xml:space="preserve">                    </w:t>
      </w:r>
    </w:p>
    <w:p w:rsidR="00413346" w:rsidRDefault="00B1721A" w:rsidP="0041334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lang w:val="es-MX"/>
        </w:rPr>
        <w:t>)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 xml:space="preserve">que el procedimiento directo seguido para la selección del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>-contratante, atendiendo a la naturaleza jurídica de las partes del convenio, encuadra en la</w:t>
      </w:r>
      <w:r>
        <w:rPr>
          <w:rFonts w:ascii="Arial" w:hAnsi="Arial" w:cs="Arial"/>
        </w:rPr>
        <w:t xml:space="preserve"> causal de excepción establecida en el </w:t>
      </w:r>
      <w:r w:rsidR="00413346">
        <w:rPr>
          <w:rFonts w:ascii="Arial" w:hAnsi="Arial" w:cs="Arial"/>
        </w:rPr>
        <w:t>N</w:t>
      </w:r>
      <w:r>
        <w:rPr>
          <w:rFonts w:ascii="Arial" w:hAnsi="Arial" w:cs="Arial"/>
        </w:rPr>
        <w:t>umeral 1</w:t>
      </w:r>
      <w:r w:rsidR="004133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="0041334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413346">
        <w:rPr>
          <w:rFonts w:ascii="Arial" w:hAnsi="Arial" w:cs="Arial"/>
        </w:rPr>
        <w:t>C) del Artículo 33, del TOCAF;</w:t>
      </w:r>
    </w:p>
    <w:p w:rsidR="00000000" w:rsidRDefault="00B1721A" w:rsidP="0041334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en el presente caso, si bien los antecedentes han sido remitidos habiéndose suscrito los convenios, de acuerdo a lo </w:t>
      </w:r>
      <w:proofErr w:type="gramStart"/>
      <w:r>
        <w:rPr>
          <w:rFonts w:ascii="Arial" w:hAnsi="Arial" w:cs="Arial"/>
        </w:rPr>
        <w:t>dispuesto</w:t>
      </w:r>
      <w:proofErr w:type="gramEnd"/>
      <w:r>
        <w:rPr>
          <w:rFonts w:ascii="Arial" w:hAnsi="Arial" w:cs="Arial"/>
        </w:rPr>
        <w:t xml:space="preserve"> en el convenio que dispone eroga</w:t>
      </w:r>
      <w:r>
        <w:rPr>
          <w:rFonts w:ascii="Arial" w:hAnsi="Arial" w:cs="Arial"/>
        </w:rPr>
        <w:t xml:space="preserve">ciones a cargo de AGESIC, el mismo se encuentra supeditado a la intervención de legalidad de este Tribunal; </w:t>
      </w:r>
    </w:p>
    <w:p w:rsidR="00000000" w:rsidRDefault="007436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1721A">
        <w:rPr>
          <w:rFonts w:ascii="Arial" w:hAnsi="Arial" w:cs="Arial"/>
          <w:b/>
        </w:rPr>
        <w:t xml:space="preserve">ATENTO: </w:t>
      </w:r>
      <w:r w:rsidR="00B1721A">
        <w:rPr>
          <w:rFonts w:ascii="Arial" w:hAnsi="Arial" w:cs="Arial"/>
        </w:rPr>
        <w:t xml:space="preserve">a lo precedentemente expuesto; </w:t>
      </w:r>
    </w:p>
    <w:p w:rsidR="00000000" w:rsidRDefault="00B1721A">
      <w:pPr>
        <w:pStyle w:val="Ttulo2"/>
      </w:pPr>
      <w:r>
        <w:t>EL TRIBUNAL ACUERDA</w:t>
      </w:r>
    </w:p>
    <w:p w:rsidR="0074364E" w:rsidRDefault="00B1721A" w:rsidP="0074364E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 w:rsidR="00743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formular observaciones a los convenios suscritos entre la Agencia para el Desa</w:t>
      </w:r>
      <w:r>
        <w:rPr>
          <w:rFonts w:ascii="Arial" w:hAnsi="Arial" w:cs="Arial"/>
        </w:rPr>
        <w:t>rrollo del Gobierno de Gestión Electrónica y la Sociedad de la Información y del Conocimiento (AGESIC) y la Administración Nacional de Correos;</w:t>
      </w:r>
    </w:p>
    <w:p w:rsidR="0074364E" w:rsidRDefault="00B1721A" w:rsidP="0074364E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Cs/>
          <w:lang w:val="es-MX"/>
        </w:rPr>
        <w:t>Dictada la Resolución por el Ordenador competente, se tendrá por intervenido el gasto de U$S 300.000, cometi</w:t>
      </w:r>
      <w:r>
        <w:rPr>
          <w:rFonts w:ascii="Arial" w:hAnsi="Arial" w:cs="Arial"/>
          <w:bCs/>
          <w:lang w:val="es-MX"/>
        </w:rPr>
        <w:t>éndose al</w:t>
      </w:r>
      <w:r>
        <w:rPr>
          <w:rFonts w:ascii="Arial" w:hAnsi="Arial" w:cs="Arial"/>
          <w:lang w:val="es-UY"/>
        </w:rPr>
        <w:t xml:space="preserve"> Contador Auditor </w:t>
      </w:r>
      <w:r>
        <w:rPr>
          <w:rFonts w:ascii="Arial" w:hAnsi="Arial" w:cs="Arial"/>
          <w:lang w:val="es-UY"/>
        </w:rPr>
        <w:lastRenderedPageBreak/>
        <w:t>destacado ante la Presidencia de la República, la verificación, previo al pago, de que la resolución concuerde con los antecedentes remitidos a este Tribunal</w:t>
      </w:r>
      <w:r w:rsidR="0074364E">
        <w:rPr>
          <w:rFonts w:ascii="Arial" w:hAnsi="Arial" w:cs="Arial"/>
        </w:rPr>
        <w:t>;</w:t>
      </w:r>
    </w:p>
    <w:p w:rsidR="00000000" w:rsidRDefault="00B1721A" w:rsidP="0074364E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Cometer al</w:t>
      </w:r>
      <w:r>
        <w:rPr>
          <w:rFonts w:ascii="Arial" w:hAnsi="Arial" w:cs="Arial"/>
          <w:lang w:val="es-UY"/>
        </w:rPr>
        <w:t xml:space="preserve"> Contador Auditor destacado ante la Presidencia de la R</w:t>
      </w:r>
      <w:r>
        <w:rPr>
          <w:rFonts w:ascii="Arial" w:hAnsi="Arial" w:cs="Arial"/>
          <w:lang w:val="es-UY"/>
        </w:rPr>
        <w:t>epública la intervención de la partida correspondiente al Ejercicio 2015, por un monto de U$S 300.000;</w:t>
      </w:r>
      <w:r w:rsidR="0074364E">
        <w:rPr>
          <w:rFonts w:ascii="Arial" w:hAnsi="Arial" w:cs="Arial"/>
          <w:lang w:val="es-UY"/>
        </w:rPr>
        <w:t xml:space="preserve"> y</w:t>
      </w:r>
    </w:p>
    <w:p w:rsidR="00000000" w:rsidRDefault="00B1721A" w:rsidP="0074364E">
      <w:p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UY"/>
        </w:rPr>
        <w:t>Comunicar al Contador Auditor destacado ante la Presidencia de la República.-</w:t>
      </w:r>
    </w:p>
    <w:p w:rsidR="00000000" w:rsidRDefault="00B1721A">
      <w:pPr>
        <w:spacing w:line="360" w:lineRule="auto"/>
        <w:ind w:left="284"/>
        <w:jc w:val="both"/>
        <w:rPr>
          <w:rFonts w:ascii="Arial" w:hAnsi="Arial" w:cs="Arial"/>
        </w:rPr>
      </w:pPr>
    </w:p>
    <w:p w:rsidR="00000000" w:rsidRDefault="00B1721A">
      <w:pPr>
        <w:spacing w:line="360" w:lineRule="auto"/>
        <w:jc w:val="both"/>
        <w:rPr>
          <w:rFonts w:ascii="Arial" w:hAnsi="Arial" w:cs="Arial"/>
        </w:rPr>
      </w:pPr>
    </w:p>
    <w:p w:rsidR="00000000" w:rsidRDefault="00B1721A">
      <w:pPr>
        <w:spacing w:line="360" w:lineRule="auto"/>
        <w:jc w:val="right"/>
        <w:rPr>
          <w:rFonts w:ascii="Arial" w:hAnsi="Arial" w:cs="Arial"/>
        </w:rPr>
      </w:pPr>
    </w:p>
    <w:p w:rsidR="0074364E" w:rsidRDefault="0074364E" w:rsidP="0074364E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74364E" w:rsidSect="00652A6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F3AD1"/>
    <w:multiLevelType w:val="hybridMultilevel"/>
    <w:tmpl w:val="88C0991A"/>
    <w:lvl w:ilvl="0" w:tplc="08784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6A"/>
    <w:rsid w:val="00413346"/>
    <w:rsid w:val="00652A6A"/>
    <w:rsid w:val="0074364E"/>
    <w:rsid w:val="00B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416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416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8153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20131710001531</vt:lpstr>
    </vt:vector>
  </TitlesOfParts>
  <Company>TCR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20131710001531</dc:title>
  <dc:subject/>
  <dc:creator>39684641</dc:creator>
  <cp:keywords/>
  <cp:lastModifiedBy>Miriam Cristina Rivero</cp:lastModifiedBy>
  <cp:revision>2</cp:revision>
  <cp:lastPrinted>2014-06-13T17:01:00Z</cp:lastPrinted>
  <dcterms:created xsi:type="dcterms:W3CDTF">2014-06-13T17:02:00Z</dcterms:created>
  <dcterms:modified xsi:type="dcterms:W3CDTF">2014-06-13T17:02:00Z</dcterms:modified>
</cp:coreProperties>
</file>