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D1C" w:rsidRDefault="00E10D1C">
      <w:pPr>
        <w:pStyle w:val="Prrafodelista"/>
        <w:spacing w:line="360" w:lineRule="auto"/>
        <w:jc w:val="both"/>
        <w:rPr>
          <w:rFonts w:ascii="Arial" w:hAnsi="Arial" w:cs="Arial"/>
          <w:b w:val="0"/>
          <w:bCs w:val="0"/>
          <w:lang w:val="es-UY"/>
        </w:rPr>
      </w:pPr>
    </w:p>
    <w:p w:rsidR="00427F37" w:rsidRPr="00427F37" w:rsidRDefault="00427F37">
      <w:pPr>
        <w:tabs>
          <w:tab w:val="center" w:pos="4253"/>
        </w:tabs>
        <w:suppressAutoHyphens/>
        <w:jc w:val="center"/>
        <w:rPr>
          <w:rFonts w:ascii="Arial" w:hAnsi="Arial" w:cs="Arial"/>
          <w:lang w:val="es-ES_tradnl"/>
        </w:rPr>
      </w:pPr>
      <w:r w:rsidRPr="00427F37">
        <w:rPr>
          <w:rFonts w:ascii="Arial" w:hAnsi="Arial" w:cs="Arial"/>
          <w:lang w:val="es-ES_tradnl"/>
        </w:rPr>
        <w:t>RESOLUCION ADOPTADA POR EL</w:t>
      </w:r>
    </w:p>
    <w:p w:rsidR="00427F37" w:rsidRPr="00427F37" w:rsidRDefault="00427F37">
      <w:pPr>
        <w:tabs>
          <w:tab w:val="left" w:pos="-720"/>
        </w:tabs>
        <w:suppressAutoHyphens/>
        <w:jc w:val="center"/>
        <w:rPr>
          <w:rFonts w:ascii="Arial" w:hAnsi="Arial" w:cs="Arial"/>
          <w:lang w:val="es-ES_tradnl"/>
        </w:rPr>
      </w:pPr>
    </w:p>
    <w:p w:rsidR="00427F37" w:rsidRPr="00427F37" w:rsidRDefault="00427F37">
      <w:pPr>
        <w:tabs>
          <w:tab w:val="center" w:pos="4253"/>
        </w:tabs>
        <w:suppressAutoHyphens/>
        <w:jc w:val="center"/>
        <w:rPr>
          <w:rFonts w:ascii="Arial" w:hAnsi="Arial" w:cs="Arial"/>
          <w:lang w:val="es-ES_tradnl"/>
        </w:rPr>
      </w:pPr>
      <w:r w:rsidRPr="00427F37">
        <w:rPr>
          <w:rFonts w:ascii="Arial" w:hAnsi="Arial" w:cs="Arial"/>
          <w:lang w:val="es-ES_tradnl"/>
        </w:rPr>
        <w:t>TRIBUNAL DE CUENTAS</w:t>
      </w:r>
    </w:p>
    <w:p w:rsidR="00427F37" w:rsidRPr="00427F37" w:rsidRDefault="00427F37">
      <w:pPr>
        <w:tabs>
          <w:tab w:val="left" w:pos="-720"/>
        </w:tabs>
        <w:suppressAutoHyphens/>
        <w:jc w:val="center"/>
        <w:rPr>
          <w:rFonts w:ascii="Arial" w:hAnsi="Arial" w:cs="Arial"/>
          <w:lang w:val="es-ES_tradnl"/>
        </w:rPr>
      </w:pPr>
    </w:p>
    <w:p w:rsidR="00427F37" w:rsidRPr="00427F37" w:rsidRDefault="00427F37">
      <w:pPr>
        <w:tabs>
          <w:tab w:val="center" w:pos="4253"/>
        </w:tabs>
        <w:suppressAutoHyphens/>
        <w:jc w:val="center"/>
        <w:rPr>
          <w:rFonts w:ascii="Arial" w:hAnsi="Arial" w:cs="Arial"/>
          <w:lang w:val="es-ES_tradnl"/>
        </w:rPr>
      </w:pPr>
      <w:r w:rsidRPr="00427F37">
        <w:rPr>
          <w:rFonts w:ascii="Arial" w:hAnsi="Arial" w:cs="Arial"/>
          <w:lang w:val="es-ES_tradnl"/>
        </w:rPr>
        <w:t>EN SESION DE FECHA 4 DE JUNIO DE 2014</w:t>
      </w:r>
    </w:p>
    <w:p w:rsidR="00427F37" w:rsidRPr="00427F37" w:rsidRDefault="00427F37">
      <w:pPr>
        <w:tabs>
          <w:tab w:val="center" w:pos="4253"/>
        </w:tabs>
        <w:suppressAutoHyphens/>
        <w:jc w:val="center"/>
        <w:rPr>
          <w:rFonts w:ascii="Arial" w:hAnsi="Arial" w:cs="Arial"/>
          <w:lang w:val="es-ES_tradnl"/>
        </w:rPr>
      </w:pPr>
    </w:p>
    <w:p w:rsidR="00427F37" w:rsidRPr="004854B7" w:rsidRDefault="00427F37">
      <w:pPr>
        <w:tabs>
          <w:tab w:val="center" w:pos="4253"/>
        </w:tabs>
        <w:suppressAutoHyphens/>
        <w:jc w:val="center"/>
        <w:rPr>
          <w:rFonts w:ascii="Arial" w:hAnsi="Arial" w:cs="Arial"/>
          <w:lang w:val="es-UY"/>
        </w:rPr>
      </w:pPr>
      <w:r w:rsidRPr="004854B7">
        <w:rPr>
          <w:rFonts w:ascii="Arial" w:hAnsi="Arial" w:cs="Arial"/>
          <w:lang w:val="es-UY"/>
        </w:rPr>
        <w:t>(E. E. Nº 2014-17-1-</w:t>
      </w:r>
      <w:proofErr w:type="gramStart"/>
      <w:r w:rsidRPr="004854B7">
        <w:rPr>
          <w:rFonts w:ascii="Arial" w:hAnsi="Arial" w:cs="Arial"/>
          <w:lang w:val="es-UY"/>
        </w:rPr>
        <w:t>0003516 ,</w:t>
      </w:r>
      <w:proofErr w:type="gramEnd"/>
      <w:r w:rsidRPr="004854B7">
        <w:rPr>
          <w:rFonts w:ascii="Arial" w:hAnsi="Arial" w:cs="Arial"/>
          <w:lang w:val="es-UY"/>
        </w:rPr>
        <w:t xml:space="preserve"> </w:t>
      </w:r>
      <w:proofErr w:type="spellStart"/>
      <w:r w:rsidRPr="004854B7">
        <w:rPr>
          <w:rFonts w:ascii="Arial" w:hAnsi="Arial" w:cs="Arial"/>
          <w:lang w:val="es-UY"/>
        </w:rPr>
        <w:t>Ent</w:t>
      </w:r>
      <w:proofErr w:type="spellEnd"/>
      <w:r w:rsidRPr="004854B7">
        <w:rPr>
          <w:rFonts w:ascii="Arial" w:hAnsi="Arial" w:cs="Arial"/>
          <w:lang w:val="es-UY"/>
        </w:rPr>
        <w:t>. N°2654/14)</w:t>
      </w:r>
    </w:p>
    <w:p w:rsidR="00427F37" w:rsidRPr="004854B7" w:rsidRDefault="00427F37">
      <w:pPr>
        <w:tabs>
          <w:tab w:val="center" w:pos="4253"/>
        </w:tabs>
        <w:suppressAutoHyphens/>
        <w:jc w:val="center"/>
        <w:rPr>
          <w:rFonts w:ascii="Arial" w:hAnsi="Arial"/>
          <w:spacing w:val="-3"/>
          <w:lang w:val="es-UY"/>
        </w:rPr>
      </w:pPr>
    </w:p>
    <w:p w:rsidR="00E10D1C" w:rsidRPr="00427F37" w:rsidRDefault="00E10D1C" w:rsidP="00427F37">
      <w:pPr>
        <w:pStyle w:val="Ttulo"/>
        <w:jc w:val="left"/>
        <w:rPr>
          <w:u w:val="none"/>
        </w:rPr>
      </w:pPr>
    </w:p>
    <w:p w:rsidR="00E10D1C" w:rsidRDefault="00E10D1C">
      <w:pPr>
        <w:pStyle w:val="Ttulo"/>
        <w:rPr>
          <w:rFonts w:ascii="Times New Roman" w:hAnsi="Times New Roman" w:cs="Times New Roman"/>
          <w:i/>
          <w:iCs/>
          <w:u w:val="none"/>
        </w:rPr>
      </w:pPr>
    </w:p>
    <w:p w:rsidR="00E10D1C" w:rsidRDefault="00E10D1C" w:rsidP="00427F37">
      <w:pPr>
        <w:pStyle w:val="Ttulo"/>
        <w:ind w:firstLine="851"/>
        <w:jc w:val="both"/>
        <w:rPr>
          <w:rFonts w:ascii="Times New Roman" w:hAnsi="Times New Roman" w:cs="Times New Roman"/>
          <w:b w:val="0"/>
          <w:bCs w:val="0"/>
          <w:u w:val="none"/>
        </w:rPr>
      </w:pPr>
      <w:r>
        <w:rPr>
          <w:u w:val="none"/>
        </w:rPr>
        <w:t>VISTO:</w:t>
      </w:r>
      <w:r>
        <w:rPr>
          <w:b w:val="0"/>
          <w:bCs w:val="0"/>
          <w:u w:val="none"/>
        </w:rPr>
        <w:t xml:space="preserve"> las actuaciones remitidas por el Ministerio de Transporte y Obras Públicas relacionadas con la expropiación del Padrón Nº 4009, ubicado en la zona rural de la Octava Sección </w:t>
      </w:r>
      <w:bookmarkStart w:id="0" w:name="_GoBack"/>
      <w:bookmarkEnd w:id="0"/>
      <w:r>
        <w:rPr>
          <w:b w:val="0"/>
          <w:bCs w:val="0"/>
          <w:u w:val="none"/>
        </w:rPr>
        <w:t xml:space="preserve">Judicial y Catastral del </w:t>
      </w:r>
      <w:r w:rsidR="00427F37">
        <w:rPr>
          <w:b w:val="0"/>
          <w:bCs w:val="0"/>
          <w:u w:val="none"/>
        </w:rPr>
        <w:t>D</w:t>
      </w:r>
      <w:r>
        <w:rPr>
          <w:b w:val="0"/>
          <w:bCs w:val="0"/>
          <w:u w:val="none"/>
        </w:rPr>
        <w:t>epartamento de Colonia, paraje “Colonia Belgrano”,</w:t>
      </w:r>
      <w:r w:rsidR="00427F37">
        <w:rPr>
          <w:b w:val="0"/>
          <w:bCs w:val="0"/>
          <w:u w:val="none"/>
        </w:rPr>
        <w:t xml:space="preserve"> </w:t>
      </w:r>
      <w:r>
        <w:rPr>
          <w:b w:val="0"/>
          <w:bCs w:val="0"/>
          <w:u w:val="none"/>
        </w:rPr>
        <w:t xml:space="preserve">para las obras del </w:t>
      </w:r>
      <w:proofErr w:type="spellStart"/>
      <w:r>
        <w:rPr>
          <w:b w:val="0"/>
          <w:bCs w:val="0"/>
          <w:u w:val="none"/>
        </w:rPr>
        <w:t>By</w:t>
      </w:r>
      <w:proofErr w:type="spellEnd"/>
      <w:r>
        <w:rPr>
          <w:b w:val="0"/>
          <w:bCs w:val="0"/>
          <w:u w:val="none"/>
        </w:rPr>
        <w:t xml:space="preserve"> Pass de la ciudad de N</w:t>
      </w:r>
      <w:r w:rsidR="00427F37">
        <w:rPr>
          <w:b w:val="0"/>
          <w:bCs w:val="0"/>
          <w:u w:val="none"/>
        </w:rPr>
        <w:t>uevo</w:t>
      </w:r>
      <w:r>
        <w:rPr>
          <w:b w:val="0"/>
          <w:bCs w:val="0"/>
          <w:u w:val="none"/>
        </w:rPr>
        <w:t xml:space="preserve"> Palmira</w:t>
      </w:r>
      <w:r>
        <w:rPr>
          <w:rFonts w:ascii="Times New Roman" w:hAnsi="Times New Roman" w:cs="Times New Roman"/>
          <w:b w:val="0"/>
          <w:bCs w:val="0"/>
          <w:u w:val="none"/>
        </w:rPr>
        <w:t xml:space="preserve">; </w:t>
      </w:r>
    </w:p>
    <w:p w:rsidR="00E10D1C" w:rsidRDefault="00E10D1C" w:rsidP="00427F37">
      <w:pPr>
        <w:spacing w:line="360" w:lineRule="auto"/>
        <w:ind w:firstLine="851"/>
        <w:jc w:val="both"/>
        <w:rPr>
          <w:rFonts w:ascii="Arial" w:hAnsi="Arial" w:cs="Arial"/>
          <w:b w:val="0"/>
          <w:bCs w:val="0"/>
        </w:rPr>
      </w:pPr>
      <w:r w:rsidRPr="00427F37">
        <w:rPr>
          <w:rFonts w:ascii="Arial" w:hAnsi="Arial" w:cs="Arial"/>
        </w:rPr>
        <w:t>RESULTANDO: 1)</w:t>
      </w:r>
      <w:r>
        <w:rPr>
          <w:rFonts w:ascii="Times New Roman" w:hAnsi="Times New Roman" w:cs="Times New Roman"/>
          <w:b w:val="0"/>
          <w:bCs w:val="0"/>
        </w:rPr>
        <w:t xml:space="preserve"> </w:t>
      </w:r>
      <w:r>
        <w:rPr>
          <w:rFonts w:ascii="Arial" w:hAnsi="Arial" w:cs="Arial"/>
          <w:b w:val="0"/>
          <w:bCs w:val="0"/>
        </w:rPr>
        <w:t>que mediante Resolución de fecha 28 de abril de 2011, se designaron varios padrones para ser expropiados, por causa de utilidad p</w:t>
      </w:r>
      <w:r w:rsidR="00427F37">
        <w:rPr>
          <w:rFonts w:ascii="Arial" w:hAnsi="Arial" w:cs="Arial"/>
          <w:b w:val="0"/>
          <w:bCs w:val="0"/>
        </w:rPr>
        <w:t>ú</w:t>
      </w:r>
      <w:r>
        <w:rPr>
          <w:rFonts w:ascii="Arial" w:hAnsi="Arial" w:cs="Arial"/>
          <w:b w:val="0"/>
          <w:bCs w:val="0"/>
        </w:rPr>
        <w:t xml:space="preserve">blica declarando su urgente ocupación, dentro de los cuales se encuentra el Nº 4009, de la octava Sección Catastral del Departamento de Colonia; </w:t>
      </w:r>
    </w:p>
    <w:p w:rsidR="00427F37" w:rsidRDefault="00E10D1C" w:rsidP="00427F37">
      <w:pPr>
        <w:spacing w:line="360" w:lineRule="auto"/>
        <w:ind w:firstLine="2694"/>
        <w:jc w:val="both"/>
      </w:pPr>
      <w:r w:rsidRPr="00427F37">
        <w:rPr>
          <w:rFonts w:ascii="Arial" w:hAnsi="Arial" w:cs="Arial"/>
          <w:bCs w:val="0"/>
        </w:rPr>
        <w:t>2)</w:t>
      </w:r>
      <w:r>
        <w:rPr>
          <w:rFonts w:ascii="Arial" w:hAnsi="Arial" w:cs="Arial"/>
          <w:b w:val="0"/>
          <w:bCs w:val="0"/>
        </w:rPr>
        <w:t xml:space="preserve"> que se efectuaron  publicaciones en el Diario Oficial (25/6/2012) y en el Diario “La Colonia” (10/7/2012);</w:t>
      </w:r>
      <w:r>
        <w:t xml:space="preserve">                               </w:t>
      </w:r>
    </w:p>
    <w:p w:rsidR="00427F37" w:rsidRDefault="00E10D1C" w:rsidP="00427F37">
      <w:pPr>
        <w:spacing w:line="360" w:lineRule="auto"/>
        <w:ind w:firstLine="2694"/>
        <w:jc w:val="both"/>
        <w:rPr>
          <w:rFonts w:ascii="Arial" w:hAnsi="Arial" w:cs="Arial"/>
          <w:b w:val="0"/>
        </w:rPr>
      </w:pPr>
      <w:r w:rsidRPr="00427F37">
        <w:rPr>
          <w:rFonts w:ascii="Arial" w:hAnsi="Arial" w:cs="Arial"/>
        </w:rPr>
        <w:t xml:space="preserve">3) </w:t>
      </w:r>
      <w:r w:rsidRPr="00427F37">
        <w:rPr>
          <w:rFonts w:ascii="Arial" w:hAnsi="Arial" w:cs="Arial"/>
          <w:b w:val="0"/>
        </w:rPr>
        <w:t xml:space="preserve">que el </w:t>
      </w:r>
      <w:r w:rsidR="00427F37">
        <w:rPr>
          <w:rFonts w:ascii="Arial" w:hAnsi="Arial" w:cs="Arial"/>
          <w:b w:val="0"/>
        </w:rPr>
        <w:t>0</w:t>
      </w:r>
      <w:r w:rsidRPr="00427F37">
        <w:rPr>
          <w:rFonts w:ascii="Arial" w:hAnsi="Arial" w:cs="Arial"/>
          <w:b w:val="0"/>
        </w:rPr>
        <w:t>4/</w:t>
      </w:r>
      <w:r w:rsidR="00427F37">
        <w:rPr>
          <w:rFonts w:ascii="Arial" w:hAnsi="Arial" w:cs="Arial"/>
          <w:b w:val="0"/>
        </w:rPr>
        <w:t>0</w:t>
      </w:r>
      <w:r w:rsidRPr="00427F37">
        <w:rPr>
          <w:rFonts w:ascii="Arial" w:hAnsi="Arial" w:cs="Arial"/>
          <w:b w:val="0"/>
        </w:rPr>
        <w:t>4/13, la D. de Topografía fijo una indemnización de $5</w:t>
      </w:r>
      <w:r w:rsidR="00427F37">
        <w:rPr>
          <w:rFonts w:ascii="Arial" w:hAnsi="Arial" w:cs="Arial"/>
          <w:b w:val="0"/>
        </w:rPr>
        <w:t>:</w:t>
      </w:r>
      <w:r w:rsidRPr="00427F37">
        <w:rPr>
          <w:rFonts w:ascii="Arial" w:hAnsi="Arial" w:cs="Arial"/>
          <w:b w:val="0"/>
        </w:rPr>
        <w:t>912.000(UR 9112) a pagar a los propietarios del inmueble;</w:t>
      </w:r>
    </w:p>
    <w:p w:rsidR="00427F37" w:rsidRDefault="00E10D1C" w:rsidP="00427F37">
      <w:pPr>
        <w:spacing w:line="360" w:lineRule="auto"/>
        <w:ind w:firstLine="2694"/>
        <w:jc w:val="both"/>
        <w:rPr>
          <w:rFonts w:ascii="Arial" w:hAnsi="Arial" w:cs="Arial"/>
          <w:b w:val="0"/>
          <w:bCs w:val="0"/>
        </w:rPr>
      </w:pPr>
      <w:r w:rsidRPr="00427F37">
        <w:rPr>
          <w:rFonts w:ascii="Arial" w:hAnsi="Arial" w:cs="Arial"/>
          <w:bCs w:val="0"/>
        </w:rPr>
        <w:t>4)</w:t>
      </w:r>
      <w:r w:rsidRPr="00427F37">
        <w:rPr>
          <w:rFonts w:ascii="Arial" w:hAnsi="Arial" w:cs="Arial"/>
        </w:rPr>
        <w:t xml:space="preserve"> </w:t>
      </w:r>
      <w:r w:rsidRPr="00427F37">
        <w:rPr>
          <w:rFonts w:ascii="Arial" w:hAnsi="Arial" w:cs="Arial"/>
          <w:b w:val="0"/>
          <w:bCs w:val="0"/>
        </w:rPr>
        <w:t xml:space="preserve"> que con fecha 17 de mayo de 2013, se </w:t>
      </w:r>
      <w:proofErr w:type="spellStart"/>
      <w:r w:rsidRPr="00427F37">
        <w:rPr>
          <w:rFonts w:ascii="Arial" w:hAnsi="Arial" w:cs="Arial"/>
          <w:b w:val="0"/>
          <w:bCs w:val="0"/>
        </w:rPr>
        <w:t>notifico</w:t>
      </w:r>
      <w:proofErr w:type="spellEnd"/>
      <w:r w:rsidRPr="00427F37">
        <w:rPr>
          <w:rFonts w:ascii="Arial" w:hAnsi="Arial" w:cs="Arial"/>
          <w:b w:val="0"/>
          <w:bCs w:val="0"/>
        </w:rPr>
        <w:t xml:space="preserve"> de la tasación a  los propietarios del inmueble, S</w:t>
      </w:r>
      <w:r w:rsidR="00427F37">
        <w:rPr>
          <w:rFonts w:ascii="Arial" w:hAnsi="Arial" w:cs="Arial"/>
          <w:b w:val="0"/>
          <w:bCs w:val="0"/>
        </w:rPr>
        <w:t>eño</w:t>
      </w:r>
      <w:r w:rsidRPr="00427F37">
        <w:rPr>
          <w:rFonts w:ascii="Arial" w:hAnsi="Arial" w:cs="Arial"/>
          <w:b w:val="0"/>
          <w:bCs w:val="0"/>
        </w:rPr>
        <w:t xml:space="preserve">res </w:t>
      </w:r>
      <w:proofErr w:type="spellStart"/>
      <w:r w:rsidRPr="00427F37">
        <w:rPr>
          <w:rFonts w:ascii="Arial" w:hAnsi="Arial" w:cs="Arial"/>
          <w:b w:val="0"/>
          <w:bCs w:val="0"/>
        </w:rPr>
        <w:t>Winemer</w:t>
      </w:r>
      <w:proofErr w:type="spellEnd"/>
      <w:r w:rsidRPr="00427F37">
        <w:rPr>
          <w:rFonts w:ascii="Arial" w:hAnsi="Arial" w:cs="Arial"/>
          <w:b w:val="0"/>
          <w:bCs w:val="0"/>
        </w:rPr>
        <w:t xml:space="preserve"> </w:t>
      </w:r>
      <w:proofErr w:type="spellStart"/>
      <w:r w:rsidRPr="00427F37">
        <w:rPr>
          <w:rFonts w:ascii="Arial" w:hAnsi="Arial" w:cs="Arial"/>
          <w:b w:val="0"/>
          <w:bCs w:val="0"/>
        </w:rPr>
        <w:t>Dario</w:t>
      </w:r>
      <w:proofErr w:type="spellEnd"/>
      <w:r w:rsidRPr="00427F37">
        <w:rPr>
          <w:rFonts w:ascii="Arial" w:hAnsi="Arial" w:cs="Arial"/>
          <w:b w:val="0"/>
          <w:bCs w:val="0"/>
        </w:rPr>
        <w:t xml:space="preserve"> </w:t>
      </w:r>
      <w:proofErr w:type="spellStart"/>
      <w:r w:rsidRPr="00427F37">
        <w:rPr>
          <w:rFonts w:ascii="Arial" w:hAnsi="Arial" w:cs="Arial"/>
          <w:b w:val="0"/>
          <w:bCs w:val="0"/>
        </w:rPr>
        <w:t>Geymonat</w:t>
      </w:r>
      <w:proofErr w:type="spellEnd"/>
      <w:r w:rsidRPr="00427F37">
        <w:rPr>
          <w:rFonts w:ascii="Arial" w:hAnsi="Arial" w:cs="Arial"/>
          <w:b w:val="0"/>
          <w:bCs w:val="0"/>
        </w:rPr>
        <w:t xml:space="preserve"> Velázquez y Emir Elena </w:t>
      </w:r>
      <w:proofErr w:type="spellStart"/>
      <w:r w:rsidRPr="00427F37">
        <w:rPr>
          <w:rFonts w:ascii="Arial" w:hAnsi="Arial" w:cs="Arial"/>
          <w:b w:val="0"/>
          <w:bCs w:val="0"/>
        </w:rPr>
        <w:t>Giacoya</w:t>
      </w:r>
      <w:proofErr w:type="spellEnd"/>
      <w:r w:rsidRPr="00427F37">
        <w:rPr>
          <w:rFonts w:ascii="Arial" w:hAnsi="Arial" w:cs="Arial"/>
          <w:b w:val="0"/>
          <w:bCs w:val="0"/>
        </w:rPr>
        <w:t xml:space="preserve"> Badal, y </w:t>
      </w:r>
      <w:proofErr w:type="gramStart"/>
      <w:r w:rsidRPr="00427F37">
        <w:rPr>
          <w:rFonts w:ascii="Arial" w:hAnsi="Arial" w:cs="Arial"/>
          <w:b w:val="0"/>
          <w:bCs w:val="0"/>
        </w:rPr>
        <w:t>estos ,por</w:t>
      </w:r>
      <w:proofErr w:type="gramEnd"/>
      <w:r w:rsidRPr="00427F37">
        <w:rPr>
          <w:rFonts w:ascii="Arial" w:hAnsi="Arial" w:cs="Arial"/>
          <w:b w:val="0"/>
          <w:bCs w:val="0"/>
        </w:rPr>
        <w:t xml:space="preserve"> nota de fecha 20/5/13 tomaron conocimiento de la Resolución del Poder Ejecutivo Nº 1858 de fecha 28 de abril de 2011, así como de la tasación efectuada de U.R 9112, la cual no  aceptaron;</w:t>
      </w:r>
    </w:p>
    <w:p w:rsidR="00427F37" w:rsidRDefault="00E10D1C" w:rsidP="00427F37">
      <w:pPr>
        <w:spacing w:line="360" w:lineRule="auto"/>
        <w:ind w:firstLine="2694"/>
        <w:jc w:val="both"/>
        <w:rPr>
          <w:rFonts w:ascii="Arial" w:hAnsi="Arial" w:cs="Arial"/>
          <w:b w:val="0"/>
          <w:bCs w:val="0"/>
        </w:rPr>
      </w:pPr>
      <w:r>
        <w:rPr>
          <w:rFonts w:ascii="Arial" w:hAnsi="Arial" w:cs="Arial"/>
        </w:rPr>
        <w:lastRenderedPageBreak/>
        <w:t>5)</w:t>
      </w:r>
      <w:r>
        <w:rPr>
          <w:rFonts w:ascii="Arial" w:hAnsi="Arial" w:cs="Arial"/>
          <w:b w:val="0"/>
          <w:bCs w:val="0"/>
        </w:rPr>
        <w:t xml:space="preserve"> que con  fecha 5 de setiembre de 2013, la Dirección Nacional de Topografía revió la tasación efectuada, ajustando  el rubro de daños y perjuicios,</w:t>
      </w:r>
      <w:r w:rsidR="004A6879">
        <w:rPr>
          <w:rFonts w:ascii="Arial" w:hAnsi="Arial" w:cs="Arial"/>
          <w:b w:val="0"/>
          <w:bCs w:val="0"/>
        </w:rPr>
        <w:t xml:space="preserve"> </w:t>
      </w:r>
      <w:r>
        <w:rPr>
          <w:rFonts w:ascii="Arial" w:hAnsi="Arial" w:cs="Arial"/>
          <w:b w:val="0"/>
          <w:bCs w:val="0"/>
        </w:rPr>
        <w:t>que se fij</w:t>
      </w:r>
      <w:r w:rsidR="004A6879">
        <w:rPr>
          <w:rFonts w:ascii="Arial" w:hAnsi="Arial" w:cs="Arial"/>
          <w:b w:val="0"/>
          <w:bCs w:val="0"/>
        </w:rPr>
        <w:t>ó</w:t>
      </w:r>
      <w:r>
        <w:rPr>
          <w:rFonts w:ascii="Arial" w:hAnsi="Arial" w:cs="Arial"/>
          <w:b w:val="0"/>
          <w:bCs w:val="0"/>
        </w:rPr>
        <w:t xml:space="preserve"> en la suma total de: $ 6:451.800 </w:t>
      </w:r>
      <w:r w:rsidR="00427F37">
        <w:rPr>
          <w:rFonts w:ascii="Arial" w:hAnsi="Arial" w:cs="Arial"/>
          <w:b w:val="0"/>
          <w:bCs w:val="0"/>
        </w:rPr>
        <w:t xml:space="preserve">        </w:t>
      </w:r>
      <w:r>
        <w:rPr>
          <w:rFonts w:ascii="Arial" w:hAnsi="Arial" w:cs="Arial"/>
          <w:b w:val="0"/>
          <w:bCs w:val="0"/>
        </w:rPr>
        <w:t>(UR 9705);</w:t>
      </w:r>
    </w:p>
    <w:p w:rsidR="00427F37" w:rsidRDefault="00E10D1C" w:rsidP="00427F37">
      <w:pPr>
        <w:spacing w:line="360" w:lineRule="auto"/>
        <w:ind w:firstLine="2694"/>
        <w:jc w:val="both"/>
        <w:rPr>
          <w:rFonts w:ascii="Arial" w:hAnsi="Arial" w:cs="Arial"/>
          <w:b w:val="0"/>
          <w:bCs w:val="0"/>
        </w:rPr>
      </w:pPr>
      <w:r>
        <w:rPr>
          <w:rFonts w:ascii="Arial" w:hAnsi="Arial" w:cs="Arial"/>
        </w:rPr>
        <w:t>6)</w:t>
      </w:r>
      <w:r>
        <w:rPr>
          <w:rFonts w:ascii="Arial" w:hAnsi="Arial" w:cs="Arial"/>
          <w:b w:val="0"/>
          <w:bCs w:val="0"/>
        </w:rPr>
        <w:t xml:space="preserve"> que con fecha 28 de noviembre de 2013, se procedió a la notificación de las actuaciones a </w:t>
      </w:r>
      <w:proofErr w:type="spellStart"/>
      <w:r>
        <w:rPr>
          <w:rFonts w:ascii="Arial" w:hAnsi="Arial" w:cs="Arial"/>
          <w:b w:val="0"/>
          <w:bCs w:val="0"/>
        </w:rPr>
        <w:t>Winemer</w:t>
      </w:r>
      <w:proofErr w:type="spellEnd"/>
      <w:r>
        <w:rPr>
          <w:rFonts w:ascii="Arial" w:hAnsi="Arial" w:cs="Arial"/>
          <w:b w:val="0"/>
          <w:bCs w:val="0"/>
        </w:rPr>
        <w:t xml:space="preserve"> Dar</w:t>
      </w:r>
      <w:r w:rsidR="004A6879">
        <w:rPr>
          <w:rFonts w:ascii="Arial" w:hAnsi="Arial" w:cs="Arial"/>
          <w:b w:val="0"/>
          <w:bCs w:val="0"/>
        </w:rPr>
        <w:t>í</w:t>
      </w:r>
      <w:r>
        <w:rPr>
          <w:rFonts w:ascii="Arial" w:hAnsi="Arial" w:cs="Arial"/>
          <w:b w:val="0"/>
          <w:bCs w:val="0"/>
        </w:rPr>
        <w:t xml:space="preserve">o </w:t>
      </w:r>
      <w:proofErr w:type="spellStart"/>
      <w:r>
        <w:rPr>
          <w:rFonts w:ascii="Arial" w:hAnsi="Arial" w:cs="Arial"/>
          <w:b w:val="0"/>
          <w:bCs w:val="0"/>
        </w:rPr>
        <w:t>Geymonat</w:t>
      </w:r>
      <w:proofErr w:type="spellEnd"/>
      <w:r>
        <w:rPr>
          <w:rFonts w:ascii="Arial" w:hAnsi="Arial" w:cs="Arial"/>
          <w:b w:val="0"/>
          <w:bCs w:val="0"/>
        </w:rPr>
        <w:t xml:space="preserve"> Velázquez y Emir Elena </w:t>
      </w:r>
      <w:proofErr w:type="spellStart"/>
      <w:r>
        <w:rPr>
          <w:rFonts w:ascii="Arial" w:hAnsi="Arial" w:cs="Arial"/>
          <w:b w:val="0"/>
          <w:bCs w:val="0"/>
        </w:rPr>
        <w:t>Giacoya</w:t>
      </w:r>
      <w:proofErr w:type="spellEnd"/>
      <w:r>
        <w:rPr>
          <w:rFonts w:ascii="Arial" w:hAnsi="Arial" w:cs="Arial"/>
          <w:b w:val="0"/>
          <w:bCs w:val="0"/>
        </w:rPr>
        <w:t xml:space="preserve"> Badal, propietarios del Padrón Nº 4009, quienes aceptaron la tasación efectuada;</w:t>
      </w:r>
    </w:p>
    <w:p w:rsidR="00427F37" w:rsidRDefault="00E10D1C" w:rsidP="00427F37">
      <w:pPr>
        <w:spacing w:line="360" w:lineRule="auto"/>
        <w:ind w:firstLine="2694"/>
        <w:jc w:val="both"/>
        <w:rPr>
          <w:rFonts w:ascii="Arial" w:hAnsi="Arial" w:cs="Arial"/>
          <w:b w:val="0"/>
          <w:bCs w:val="0"/>
          <w:lang w:val="es-UY"/>
        </w:rPr>
      </w:pPr>
      <w:r>
        <w:rPr>
          <w:rFonts w:ascii="Arial" w:hAnsi="Arial" w:cs="Arial"/>
        </w:rPr>
        <w:t>7)</w:t>
      </w:r>
      <w:r>
        <w:rPr>
          <w:rFonts w:ascii="Arial" w:hAnsi="Arial" w:cs="Arial"/>
          <w:b w:val="0"/>
          <w:bCs w:val="0"/>
        </w:rPr>
        <w:t xml:space="preserve"> que por  Documento de Afectación Nº 000066, de fecha 10 de marzo de 2013, se afect</w:t>
      </w:r>
      <w:r w:rsidR="00427F37">
        <w:rPr>
          <w:rFonts w:ascii="Arial" w:hAnsi="Arial" w:cs="Arial"/>
          <w:b w:val="0"/>
          <w:bCs w:val="0"/>
        </w:rPr>
        <w:t>ó</w:t>
      </w:r>
      <w:r>
        <w:rPr>
          <w:rFonts w:ascii="Arial" w:hAnsi="Arial" w:cs="Arial"/>
          <w:b w:val="0"/>
          <w:bCs w:val="0"/>
        </w:rPr>
        <w:t xml:space="preserve"> al Inciso 10 Ministerio de Transporte y Obras Púbicas, Unidad Ejecutora 006  Dirección Nacional de  Topografía, Financiamiento 11 Rentas Generales, </w:t>
      </w:r>
      <w:proofErr w:type="spellStart"/>
      <w:r>
        <w:rPr>
          <w:rFonts w:ascii="Arial" w:hAnsi="Arial" w:cs="Arial"/>
          <w:b w:val="0"/>
          <w:bCs w:val="0"/>
        </w:rPr>
        <w:t>Prog</w:t>
      </w:r>
      <w:proofErr w:type="spellEnd"/>
      <w:r>
        <w:rPr>
          <w:rFonts w:ascii="Arial" w:hAnsi="Arial" w:cs="Arial"/>
          <w:b w:val="0"/>
          <w:bCs w:val="0"/>
        </w:rPr>
        <w:t xml:space="preserve">. 362, </w:t>
      </w:r>
      <w:proofErr w:type="spellStart"/>
      <w:r>
        <w:rPr>
          <w:rFonts w:ascii="Arial" w:hAnsi="Arial" w:cs="Arial"/>
          <w:b w:val="0"/>
          <w:bCs w:val="0"/>
        </w:rPr>
        <w:t>Proy</w:t>
      </w:r>
      <w:proofErr w:type="spellEnd"/>
      <w:r>
        <w:rPr>
          <w:rFonts w:ascii="Arial" w:hAnsi="Arial" w:cs="Arial"/>
          <w:b w:val="0"/>
          <w:bCs w:val="0"/>
        </w:rPr>
        <w:t xml:space="preserve">. 765, por un total nominal  de  </w:t>
      </w:r>
      <w:r>
        <w:rPr>
          <w:rFonts w:ascii="Arial" w:hAnsi="Arial" w:cs="Arial"/>
          <w:b w:val="0"/>
          <w:bCs w:val="0"/>
          <w:lang w:val="es-UY"/>
        </w:rPr>
        <w:t>$ 7:208.098;</w:t>
      </w:r>
    </w:p>
    <w:p w:rsidR="004A6879" w:rsidRDefault="00E10D1C" w:rsidP="004A6879">
      <w:pPr>
        <w:spacing w:line="360" w:lineRule="auto"/>
        <w:ind w:firstLine="2694"/>
        <w:jc w:val="both"/>
        <w:rPr>
          <w:rFonts w:ascii="Arial" w:hAnsi="Arial" w:cs="Arial"/>
          <w:b w:val="0"/>
          <w:bCs w:val="0"/>
        </w:rPr>
      </w:pPr>
      <w:r>
        <w:rPr>
          <w:rFonts w:ascii="Arial" w:hAnsi="Arial" w:cs="Arial"/>
        </w:rPr>
        <w:t xml:space="preserve">8) </w:t>
      </w:r>
      <w:r>
        <w:rPr>
          <w:rFonts w:ascii="Arial" w:hAnsi="Arial" w:cs="Arial"/>
          <w:b w:val="0"/>
          <w:bCs w:val="0"/>
        </w:rPr>
        <w:t xml:space="preserve">que por </w:t>
      </w:r>
      <w:r>
        <w:rPr>
          <w:rFonts w:ascii="Arial" w:hAnsi="Arial" w:cs="Arial"/>
        </w:rPr>
        <w:t xml:space="preserve"> </w:t>
      </w:r>
      <w:r>
        <w:rPr>
          <w:rFonts w:ascii="Arial" w:hAnsi="Arial" w:cs="Arial"/>
          <w:b w:val="0"/>
          <w:bCs w:val="0"/>
        </w:rPr>
        <w:t>Proyecto de Resolución se aprob</w:t>
      </w:r>
      <w:r w:rsidR="00427F37">
        <w:rPr>
          <w:rFonts w:ascii="Arial" w:hAnsi="Arial" w:cs="Arial"/>
          <w:b w:val="0"/>
          <w:bCs w:val="0"/>
        </w:rPr>
        <w:t>ó</w:t>
      </w:r>
      <w:r>
        <w:rPr>
          <w:rFonts w:ascii="Arial" w:hAnsi="Arial" w:cs="Arial"/>
          <w:b w:val="0"/>
          <w:bCs w:val="0"/>
        </w:rPr>
        <w:t xml:space="preserve"> la tasación practicada por la Dirección Nacional de Topografía, la que asciende a la suma de U.R. 9.705, que se convertirán vigente de la Unidad Reajustable el día anterior a su pago, señalándose que dicha erogación se atenderá con cargo a los rubros establecidos en la Ley Nº 18.719 del 27 de diciembre  de 2010, Inciso 10, UE 006, Programa 362, Proyecto 765;</w:t>
      </w:r>
    </w:p>
    <w:p w:rsidR="00E10D1C" w:rsidRDefault="00E10D1C" w:rsidP="004A6879">
      <w:pPr>
        <w:spacing w:line="360" w:lineRule="auto"/>
        <w:ind w:firstLine="2694"/>
        <w:jc w:val="both"/>
        <w:rPr>
          <w:rFonts w:ascii="Arial" w:hAnsi="Arial" w:cs="Arial"/>
          <w:b w:val="0"/>
          <w:bCs w:val="0"/>
        </w:rPr>
      </w:pPr>
      <w:r>
        <w:rPr>
          <w:rFonts w:ascii="Arial" w:hAnsi="Arial" w:cs="Arial"/>
        </w:rPr>
        <w:t>9)</w:t>
      </w:r>
      <w:r>
        <w:rPr>
          <w:rFonts w:ascii="Arial" w:hAnsi="Arial" w:cs="Arial"/>
          <w:b w:val="0"/>
          <w:bCs w:val="0"/>
        </w:rPr>
        <w:t xml:space="preserve"> que la Contadora Delegada, con fecha 22 de abril de 2014, devolvió las actuaciones sin intervenir, dado que el monto de la expropiación supera la competencia de dicha Auditoría, debiéndose remitir las actuaciones al Tribunal de Cuentas; </w:t>
      </w:r>
    </w:p>
    <w:p w:rsidR="00E10D1C" w:rsidRDefault="00E10D1C" w:rsidP="004A6879">
      <w:pPr>
        <w:spacing w:line="360" w:lineRule="auto"/>
        <w:ind w:firstLine="851"/>
        <w:jc w:val="both"/>
        <w:rPr>
          <w:rFonts w:ascii="Arial" w:hAnsi="Arial" w:cs="Arial"/>
        </w:rPr>
      </w:pPr>
      <w:r>
        <w:rPr>
          <w:rFonts w:ascii="Arial" w:hAnsi="Arial" w:cs="Arial"/>
        </w:rPr>
        <w:t xml:space="preserve">CONSIDERANDO: 1) </w:t>
      </w:r>
      <w:r>
        <w:rPr>
          <w:rFonts w:ascii="Arial" w:hAnsi="Arial" w:cs="Arial"/>
          <w:b w:val="0"/>
          <w:bCs w:val="0"/>
        </w:rPr>
        <w:t>que l</w:t>
      </w:r>
      <w:r>
        <w:rPr>
          <w:rFonts w:ascii="Arial" w:hAnsi="Arial" w:cs="Arial"/>
          <w:b w:val="0"/>
          <w:bCs w:val="0"/>
          <w:lang w:val="es-UY"/>
        </w:rPr>
        <w:t xml:space="preserve">os </w:t>
      </w:r>
      <w:r w:rsidR="004A6879">
        <w:rPr>
          <w:rFonts w:ascii="Arial" w:hAnsi="Arial" w:cs="Arial"/>
          <w:b w:val="0"/>
          <w:bCs w:val="0"/>
          <w:lang w:val="es-UY"/>
        </w:rPr>
        <w:t>A</w:t>
      </w:r>
      <w:r>
        <w:rPr>
          <w:rFonts w:ascii="Arial" w:hAnsi="Arial" w:cs="Arial"/>
          <w:b w:val="0"/>
          <w:bCs w:val="0"/>
          <w:lang w:val="es-UY"/>
        </w:rPr>
        <w:t xml:space="preserve">rtículos 7 y 72 de la Constitución de la República preceptúan que, toda expropiación debe ser precedida de una declaración de existencia de causa de necesidad o utilidad públicas, lo que únicamente se puede realizar por una ley en sentido orgánico – formal, dado que implica una limitación a un derecho fundamental como es el de la propiedad; </w:t>
      </w:r>
    </w:p>
    <w:p w:rsidR="004A6879" w:rsidRDefault="00E10D1C" w:rsidP="004A6879">
      <w:pPr>
        <w:spacing w:line="360" w:lineRule="auto"/>
        <w:ind w:firstLine="2977"/>
        <w:jc w:val="both"/>
        <w:rPr>
          <w:rFonts w:ascii="Arial" w:hAnsi="Arial" w:cs="Arial"/>
        </w:rPr>
      </w:pPr>
      <w:r>
        <w:rPr>
          <w:rFonts w:ascii="Arial" w:hAnsi="Arial" w:cs="Arial"/>
        </w:rPr>
        <w:lastRenderedPageBreak/>
        <w:t>2)</w:t>
      </w:r>
      <w:r>
        <w:rPr>
          <w:rFonts w:ascii="Arial" w:hAnsi="Arial" w:cs="Arial"/>
          <w:b w:val="0"/>
          <w:bCs w:val="0"/>
        </w:rPr>
        <w:t xml:space="preserve"> que en el caso, es de aplicación la previsión establecida en el </w:t>
      </w:r>
      <w:r w:rsidR="004A6879">
        <w:rPr>
          <w:rFonts w:ascii="Arial" w:hAnsi="Arial" w:cs="Arial"/>
          <w:b w:val="0"/>
          <w:bCs w:val="0"/>
        </w:rPr>
        <w:t>A</w:t>
      </w:r>
      <w:r>
        <w:rPr>
          <w:rFonts w:ascii="Arial" w:hAnsi="Arial" w:cs="Arial"/>
          <w:b w:val="0"/>
          <w:bCs w:val="0"/>
        </w:rPr>
        <w:t xml:space="preserve">rtículo 4 de la Ley Nº 3958, de 28 de marzo de 1912, el que preceptúa: “Declárase de utilidad pública la expropiación de los siguientes bienes: 1) la de los inmuebles necesarios para la apertura, ensanche o rectificación de las calles, plazas y plazuelas comprendidas dentro del amanzanamiento oficial de los centros urbanos de la República, y de los caminos y puentes cuyo trazado se haya previa y debidamente autorizado.”; </w:t>
      </w:r>
      <w:r>
        <w:rPr>
          <w:rFonts w:ascii="Arial" w:hAnsi="Arial" w:cs="Arial"/>
        </w:rPr>
        <w:t xml:space="preserve">                                    </w:t>
      </w:r>
    </w:p>
    <w:p w:rsidR="00E10D1C" w:rsidRDefault="00E10D1C" w:rsidP="004A6879">
      <w:pPr>
        <w:spacing w:line="360" w:lineRule="auto"/>
        <w:ind w:firstLine="2977"/>
        <w:jc w:val="both"/>
        <w:rPr>
          <w:rFonts w:ascii="Arial" w:hAnsi="Arial" w:cs="Arial"/>
          <w:b w:val="0"/>
          <w:bCs w:val="0"/>
        </w:rPr>
      </w:pPr>
      <w:r>
        <w:rPr>
          <w:rFonts w:ascii="Arial" w:hAnsi="Arial" w:cs="Arial"/>
        </w:rPr>
        <w:t>3)</w:t>
      </w:r>
      <w:r>
        <w:rPr>
          <w:rFonts w:ascii="Arial" w:hAnsi="Arial" w:cs="Arial"/>
          <w:b w:val="0"/>
          <w:bCs w:val="0"/>
        </w:rPr>
        <w:t xml:space="preserve"> que de las actuaciones remitidas surge que la expropiación de referencia se ajusta a lo establecido en la Ley de Nº 3.958 de 28 de marzo de 1912 en sus </w:t>
      </w:r>
      <w:r w:rsidR="004A6879">
        <w:rPr>
          <w:rFonts w:ascii="Arial" w:hAnsi="Arial" w:cs="Arial"/>
          <w:b w:val="0"/>
          <w:bCs w:val="0"/>
        </w:rPr>
        <w:t>A</w:t>
      </w:r>
      <w:r>
        <w:rPr>
          <w:rFonts w:ascii="Arial" w:hAnsi="Arial" w:cs="Arial"/>
          <w:b w:val="0"/>
          <w:bCs w:val="0"/>
        </w:rPr>
        <w:t xml:space="preserve">rtículos 15 y 42, en la redacción dada por el </w:t>
      </w:r>
      <w:r w:rsidR="004A6879">
        <w:rPr>
          <w:rFonts w:ascii="Arial" w:hAnsi="Arial" w:cs="Arial"/>
          <w:b w:val="0"/>
          <w:bCs w:val="0"/>
        </w:rPr>
        <w:t>A</w:t>
      </w:r>
      <w:r>
        <w:rPr>
          <w:rFonts w:ascii="Arial" w:hAnsi="Arial" w:cs="Arial"/>
          <w:b w:val="0"/>
          <w:bCs w:val="0"/>
        </w:rPr>
        <w:t xml:space="preserve">rtículo 278 de la </w:t>
      </w:r>
      <w:r w:rsidR="004A6879">
        <w:rPr>
          <w:rFonts w:ascii="Arial" w:hAnsi="Arial" w:cs="Arial"/>
          <w:b w:val="0"/>
          <w:bCs w:val="0"/>
        </w:rPr>
        <w:t>L</w:t>
      </w:r>
      <w:r>
        <w:rPr>
          <w:rFonts w:ascii="Arial" w:hAnsi="Arial" w:cs="Arial"/>
          <w:b w:val="0"/>
          <w:bCs w:val="0"/>
        </w:rPr>
        <w:t xml:space="preserve">ey Nº 17.296 de 21 de febrero de 2001; </w:t>
      </w:r>
    </w:p>
    <w:p w:rsidR="00E10D1C" w:rsidRDefault="00E10D1C" w:rsidP="004A6879">
      <w:pPr>
        <w:spacing w:line="360" w:lineRule="auto"/>
        <w:ind w:firstLine="851"/>
        <w:jc w:val="both"/>
        <w:rPr>
          <w:rFonts w:ascii="Arial" w:hAnsi="Arial" w:cs="Arial"/>
          <w:b w:val="0"/>
          <w:bCs w:val="0"/>
          <w:lang w:val="es-UY"/>
        </w:rPr>
      </w:pPr>
      <w:r>
        <w:rPr>
          <w:rFonts w:ascii="Arial" w:hAnsi="Arial" w:cs="Arial"/>
          <w:lang w:val="es-UY"/>
        </w:rPr>
        <w:t>ATENTO:</w:t>
      </w:r>
      <w:r>
        <w:rPr>
          <w:rFonts w:ascii="Arial" w:hAnsi="Arial" w:cs="Arial"/>
          <w:b w:val="0"/>
          <w:bCs w:val="0"/>
          <w:lang w:val="es-UY"/>
        </w:rPr>
        <w:t xml:space="preserve"> a lo precedentemente expuesto y a lo dispuesto por el </w:t>
      </w:r>
      <w:r w:rsidR="004A6879">
        <w:rPr>
          <w:rFonts w:ascii="Arial" w:hAnsi="Arial" w:cs="Arial"/>
          <w:b w:val="0"/>
          <w:bCs w:val="0"/>
          <w:lang w:val="es-UY"/>
        </w:rPr>
        <w:t>A</w:t>
      </w:r>
      <w:r>
        <w:rPr>
          <w:rFonts w:ascii="Arial" w:hAnsi="Arial" w:cs="Arial"/>
          <w:b w:val="0"/>
          <w:bCs w:val="0"/>
          <w:lang w:val="es-UY"/>
        </w:rPr>
        <w:t xml:space="preserve">rtículo 211 </w:t>
      </w:r>
      <w:r w:rsidR="004A6879">
        <w:rPr>
          <w:rFonts w:ascii="Arial" w:hAnsi="Arial" w:cs="Arial"/>
          <w:b w:val="0"/>
          <w:bCs w:val="0"/>
          <w:lang w:val="es-UY"/>
        </w:rPr>
        <w:t>L</w:t>
      </w:r>
      <w:r>
        <w:rPr>
          <w:rFonts w:ascii="Arial" w:hAnsi="Arial" w:cs="Arial"/>
          <w:b w:val="0"/>
          <w:bCs w:val="0"/>
          <w:lang w:val="es-UY"/>
        </w:rPr>
        <w:t xml:space="preserve">iteral B) de la Constitución de la República; </w:t>
      </w:r>
    </w:p>
    <w:p w:rsidR="00E10D1C" w:rsidRDefault="00E10D1C">
      <w:pPr>
        <w:spacing w:line="360" w:lineRule="auto"/>
        <w:ind w:firstLine="708"/>
        <w:jc w:val="center"/>
        <w:rPr>
          <w:rFonts w:ascii="Arial" w:hAnsi="Arial" w:cs="Arial"/>
        </w:rPr>
      </w:pPr>
      <w:r>
        <w:rPr>
          <w:rFonts w:ascii="Arial" w:hAnsi="Arial" w:cs="Arial"/>
        </w:rPr>
        <w:t>EL TRIBUNAL ACUERDA</w:t>
      </w:r>
    </w:p>
    <w:p w:rsidR="00E10D1C" w:rsidRDefault="00E10D1C" w:rsidP="004A6879">
      <w:pPr>
        <w:spacing w:line="360" w:lineRule="auto"/>
        <w:ind w:left="284" w:hanging="284"/>
        <w:jc w:val="both"/>
        <w:rPr>
          <w:rFonts w:ascii="Arial" w:hAnsi="Arial" w:cs="Arial"/>
          <w:b w:val="0"/>
          <w:bCs w:val="0"/>
        </w:rPr>
      </w:pPr>
      <w:r>
        <w:rPr>
          <w:rFonts w:ascii="Arial" w:hAnsi="Arial" w:cs="Arial"/>
        </w:rPr>
        <w:t>1)</w:t>
      </w:r>
      <w:r>
        <w:rPr>
          <w:rFonts w:ascii="Arial" w:hAnsi="Arial" w:cs="Arial"/>
          <w:b w:val="0"/>
          <w:bCs w:val="0"/>
        </w:rPr>
        <w:t xml:space="preserve"> Dictada la Resolución por el </w:t>
      </w:r>
      <w:r w:rsidR="004A6879">
        <w:rPr>
          <w:rFonts w:ascii="Arial" w:hAnsi="Arial" w:cs="Arial"/>
          <w:b w:val="0"/>
          <w:bCs w:val="0"/>
        </w:rPr>
        <w:t>O</w:t>
      </w:r>
      <w:r>
        <w:rPr>
          <w:rFonts w:ascii="Arial" w:hAnsi="Arial" w:cs="Arial"/>
          <w:b w:val="0"/>
          <w:bCs w:val="0"/>
        </w:rPr>
        <w:t xml:space="preserve">rdenador competente, </w:t>
      </w:r>
      <w:proofErr w:type="spellStart"/>
      <w:r>
        <w:rPr>
          <w:rFonts w:ascii="Arial" w:hAnsi="Arial" w:cs="Arial"/>
          <w:b w:val="0"/>
          <w:bCs w:val="0"/>
        </w:rPr>
        <w:t>cométese</w:t>
      </w:r>
      <w:proofErr w:type="spellEnd"/>
      <w:r>
        <w:rPr>
          <w:rFonts w:ascii="Arial" w:hAnsi="Arial" w:cs="Arial"/>
          <w:b w:val="0"/>
          <w:bCs w:val="0"/>
        </w:rPr>
        <w:t xml:space="preserve"> a la Contadora Auditora la intervención del gasto de U.R. 9705 (que se convertirán al valor vigente de la Unidad Reajustable el día anterior a su pago), previo control de su imputación en el grupo adecuado con disponibilidad suficiente</w:t>
      </w:r>
      <w:r w:rsidR="004A6879">
        <w:rPr>
          <w:rFonts w:ascii="Arial" w:hAnsi="Arial" w:cs="Arial"/>
          <w:b w:val="0"/>
          <w:bCs w:val="0"/>
        </w:rPr>
        <w:t>;</w:t>
      </w:r>
    </w:p>
    <w:p w:rsidR="00E10D1C" w:rsidRDefault="00E10D1C" w:rsidP="004A6879">
      <w:pPr>
        <w:spacing w:line="360" w:lineRule="auto"/>
        <w:ind w:left="284" w:hanging="284"/>
        <w:jc w:val="both"/>
        <w:rPr>
          <w:rFonts w:ascii="Arial" w:hAnsi="Arial" w:cs="Arial"/>
          <w:b w:val="0"/>
          <w:bCs w:val="0"/>
        </w:rPr>
      </w:pPr>
      <w:r>
        <w:rPr>
          <w:rFonts w:ascii="Arial" w:hAnsi="Arial" w:cs="Arial"/>
        </w:rPr>
        <w:t>2)</w:t>
      </w:r>
      <w:r>
        <w:rPr>
          <w:rFonts w:ascii="Arial" w:hAnsi="Arial" w:cs="Arial"/>
          <w:b w:val="0"/>
          <w:bCs w:val="0"/>
        </w:rPr>
        <w:t xml:space="preserve"> </w:t>
      </w:r>
      <w:proofErr w:type="spellStart"/>
      <w:r>
        <w:rPr>
          <w:rFonts w:ascii="Arial" w:hAnsi="Arial" w:cs="Arial"/>
          <w:b w:val="0"/>
          <w:bCs w:val="0"/>
        </w:rPr>
        <w:t>Cométese</w:t>
      </w:r>
      <w:proofErr w:type="spellEnd"/>
      <w:r>
        <w:rPr>
          <w:rFonts w:ascii="Arial" w:hAnsi="Arial" w:cs="Arial"/>
          <w:b w:val="0"/>
          <w:bCs w:val="0"/>
        </w:rPr>
        <w:t xml:space="preserve"> asimismo a la Contadora Auditora, la verificación que la Resolución </w:t>
      </w:r>
      <w:r w:rsidR="004A6879">
        <w:rPr>
          <w:rFonts w:ascii="Arial" w:hAnsi="Arial" w:cs="Arial"/>
          <w:b w:val="0"/>
          <w:bCs w:val="0"/>
        </w:rPr>
        <w:t>d</w:t>
      </w:r>
      <w:r>
        <w:rPr>
          <w:rFonts w:ascii="Arial" w:hAnsi="Arial" w:cs="Arial"/>
          <w:b w:val="0"/>
          <w:bCs w:val="0"/>
        </w:rPr>
        <w:t>efinitiva concuerde con las condiciones de la contratación sometidas a este Tribunal (</w:t>
      </w:r>
      <w:r w:rsidR="004A6879">
        <w:rPr>
          <w:rFonts w:ascii="Arial" w:hAnsi="Arial" w:cs="Arial"/>
          <w:b w:val="0"/>
          <w:bCs w:val="0"/>
        </w:rPr>
        <w:t>A</w:t>
      </w:r>
      <w:r>
        <w:rPr>
          <w:rFonts w:ascii="Arial" w:hAnsi="Arial" w:cs="Arial"/>
          <w:b w:val="0"/>
          <w:bCs w:val="0"/>
        </w:rPr>
        <w:t>rt</w:t>
      </w:r>
      <w:r w:rsidR="004A6879">
        <w:rPr>
          <w:rFonts w:ascii="Arial" w:hAnsi="Arial" w:cs="Arial"/>
          <w:b w:val="0"/>
          <w:bCs w:val="0"/>
        </w:rPr>
        <w:t>ículo</w:t>
      </w:r>
      <w:r>
        <w:rPr>
          <w:rFonts w:ascii="Arial" w:hAnsi="Arial" w:cs="Arial"/>
          <w:b w:val="0"/>
          <w:bCs w:val="0"/>
        </w:rPr>
        <w:t xml:space="preserve"> 8 de la Ordenanza N° 27 de fecha 22/5/58 en la redacción sustitutiva dispuesta por Resolución s/n del Tribunal de Cuentas del 16/6/2010)</w:t>
      </w:r>
      <w:r w:rsidR="004A6879">
        <w:rPr>
          <w:rFonts w:ascii="Arial" w:hAnsi="Arial" w:cs="Arial"/>
          <w:b w:val="0"/>
          <w:bCs w:val="0"/>
        </w:rPr>
        <w:t>;</w:t>
      </w:r>
      <w:r>
        <w:rPr>
          <w:rFonts w:ascii="Arial" w:hAnsi="Arial" w:cs="Arial"/>
          <w:b w:val="0"/>
          <w:bCs w:val="0"/>
        </w:rPr>
        <w:t xml:space="preserve"> </w:t>
      </w:r>
    </w:p>
    <w:p w:rsidR="00E10D1C" w:rsidRDefault="00E10D1C">
      <w:pPr>
        <w:spacing w:line="360" w:lineRule="auto"/>
        <w:jc w:val="both"/>
        <w:rPr>
          <w:rFonts w:ascii="Arial" w:hAnsi="Arial" w:cs="Arial"/>
          <w:b w:val="0"/>
          <w:bCs w:val="0"/>
        </w:rPr>
      </w:pPr>
      <w:r>
        <w:rPr>
          <w:rFonts w:ascii="Arial" w:hAnsi="Arial" w:cs="Arial"/>
        </w:rPr>
        <w:t>3)</w:t>
      </w:r>
      <w:r w:rsidR="004A6879">
        <w:rPr>
          <w:rFonts w:ascii="Arial" w:hAnsi="Arial" w:cs="Arial"/>
        </w:rPr>
        <w:t xml:space="preserve"> </w:t>
      </w:r>
      <w:r>
        <w:rPr>
          <w:rFonts w:ascii="Arial" w:hAnsi="Arial" w:cs="Arial"/>
          <w:b w:val="0"/>
          <w:bCs w:val="0"/>
        </w:rPr>
        <w:t>Comuníquese a</w:t>
      </w:r>
      <w:r w:rsidR="004A6879">
        <w:rPr>
          <w:rFonts w:ascii="Arial" w:hAnsi="Arial" w:cs="Arial"/>
          <w:b w:val="0"/>
          <w:bCs w:val="0"/>
        </w:rPr>
        <w:t xml:space="preserve"> </w:t>
      </w:r>
      <w:r>
        <w:rPr>
          <w:rFonts w:ascii="Arial" w:hAnsi="Arial" w:cs="Arial"/>
          <w:b w:val="0"/>
          <w:bCs w:val="0"/>
        </w:rPr>
        <w:t>l</w:t>
      </w:r>
      <w:r w:rsidR="004A6879">
        <w:rPr>
          <w:rFonts w:ascii="Arial" w:hAnsi="Arial" w:cs="Arial"/>
          <w:b w:val="0"/>
          <w:bCs w:val="0"/>
        </w:rPr>
        <w:t>a</w:t>
      </w:r>
      <w:r>
        <w:rPr>
          <w:rFonts w:ascii="Arial" w:hAnsi="Arial" w:cs="Arial"/>
          <w:b w:val="0"/>
          <w:bCs w:val="0"/>
        </w:rPr>
        <w:t xml:space="preserve"> Contadora Auditora</w:t>
      </w:r>
      <w:r w:rsidR="004A6879">
        <w:rPr>
          <w:rFonts w:ascii="Arial" w:hAnsi="Arial" w:cs="Arial"/>
          <w:b w:val="0"/>
          <w:bCs w:val="0"/>
        </w:rPr>
        <w:t>; y</w:t>
      </w:r>
    </w:p>
    <w:p w:rsidR="00E10D1C" w:rsidRDefault="00E10D1C">
      <w:pPr>
        <w:spacing w:line="360" w:lineRule="auto"/>
        <w:jc w:val="both"/>
        <w:rPr>
          <w:rFonts w:ascii="Arial" w:hAnsi="Arial" w:cs="Arial"/>
          <w:b w:val="0"/>
          <w:bCs w:val="0"/>
        </w:rPr>
      </w:pPr>
      <w:r>
        <w:rPr>
          <w:rFonts w:ascii="Arial" w:hAnsi="Arial" w:cs="Arial"/>
        </w:rPr>
        <w:t>4)</w:t>
      </w:r>
      <w:r>
        <w:rPr>
          <w:rFonts w:ascii="Arial" w:hAnsi="Arial" w:cs="Arial"/>
          <w:b w:val="0"/>
          <w:bCs w:val="0"/>
        </w:rPr>
        <w:t xml:space="preserve"> Devuélvase.</w:t>
      </w:r>
    </w:p>
    <w:p w:rsidR="00E10D1C" w:rsidRDefault="004A6879" w:rsidP="004A6879">
      <w:pPr>
        <w:pStyle w:val="Prrafodelista"/>
        <w:spacing w:line="360" w:lineRule="auto"/>
        <w:ind w:left="0"/>
        <w:jc w:val="both"/>
        <w:rPr>
          <w:rFonts w:ascii="Arial" w:hAnsi="Arial" w:cs="Arial"/>
          <w:b w:val="0"/>
          <w:bCs w:val="0"/>
          <w:lang w:val="es-ES_tradnl"/>
        </w:rPr>
      </w:pPr>
      <w:proofErr w:type="spellStart"/>
      <w:proofErr w:type="gramStart"/>
      <w:r>
        <w:rPr>
          <w:rFonts w:ascii="Arial" w:hAnsi="Arial" w:cs="Arial"/>
          <w:b w:val="0"/>
          <w:bCs w:val="0"/>
          <w:lang w:val="es-ES_tradnl"/>
        </w:rPr>
        <w:t>sd</w:t>
      </w:r>
      <w:proofErr w:type="spellEnd"/>
      <w:proofErr w:type="gramEnd"/>
    </w:p>
    <w:sectPr w:rsidR="00E10D1C" w:rsidSect="00F512DA">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1C" w:rsidRDefault="00E10D1C">
      <w:pPr>
        <w:rPr>
          <w:rFonts w:ascii="Times New Roman" w:hAnsi="Times New Roman" w:cs="Times New Roman"/>
        </w:rPr>
      </w:pPr>
      <w:r>
        <w:rPr>
          <w:rFonts w:ascii="Times New Roman" w:hAnsi="Times New Roman" w:cs="Times New Roman"/>
        </w:rPr>
        <w:separator/>
      </w:r>
    </w:p>
  </w:endnote>
  <w:endnote w:type="continuationSeparator" w:id="0">
    <w:p w:rsidR="00E10D1C" w:rsidRDefault="00E10D1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1C" w:rsidRDefault="00E10D1C">
    <w:pPr>
      <w:pStyle w:val="Piedepgin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F512DA">
      <w:rPr>
        <w:rFonts w:ascii="Times New Roman" w:hAnsi="Times New Roman" w:cs="Times New Roman"/>
        <w:noProof/>
      </w:rPr>
      <w:t>1</w:t>
    </w:r>
    <w:r>
      <w:rPr>
        <w:rFonts w:ascii="Times New Roman" w:hAnsi="Times New Roman" w:cs="Times New Roman"/>
      </w:rPr>
      <w:fldChar w:fldCharType="end"/>
    </w:r>
  </w:p>
  <w:p w:rsidR="00E10D1C" w:rsidRDefault="00E10D1C">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1C" w:rsidRDefault="00E10D1C">
      <w:pPr>
        <w:rPr>
          <w:rFonts w:ascii="Times New Roman" w:hAnsi="Times New Roman" w:cs="Times New Roman"/>
        </w:rPr>
      </w:pPr>
      <w:r>
        <w:rPr>
          <w:rFonts w:ascii="Times New Roman" w:hAnsi="Times New Roman" w:cs="Times New Roman"/>
        </w:rPr>
        <w:separator/>
      </w:r>
    </w:p>
  </w:footnote>
  <w:footnote w:type="continuationSeparator" w:id="0">
    <w:p w:rsidR="00E10D1C" w:rsidRDefault="00E10D1C">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1560"/>
    <w:multiLevelType w:val="hybridMultilevel"/>
    <w:tmpl w:val="ECC03760"/>
    <w:lvl w:ilvl="0" w:tplc="0C0A0011">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1">
    <w:nsid w:val="32116879"/>
    <w:multiLevelType w:val="hybridMultilevel"/>
    <w:tmpl w:val="C54A491A"/>
    <w:lvl w:ilvl="0" w:tplc="0C0A0011">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2">
    <w:nsid w:val="403D19B7"/>
    <w:multiLevelType w:val="hybridMultilevel"/>
    <w:tmpl w:val="64CAF5E8"/>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4D347807"/>
    <w:multiLevelType w:val="hybridMultilevel"/>
    <w:tmpl w:val="57D63644"/>
    <w:lvl w:ilvl="0" w:tplc="42285DBC">
      <w:start w:val="1"/>
      <w:numFmt w:val="decimal"/>
      <w:lvlText w:val="%1)"/>
      <w:lvlJc w:val="left"/>
      <w:pPr>
        <w:tabs>
          <w:tab w:val="num" w:pos="1068"/>
        </w:tabs>
        <w:ind w:left="1068" w:hanging="360"/>
      </w:pPr>
      <w:rPr>
        <w:rFonts w:ascii="Times New Roman" w:hAnsi="Times New Roman" w:cs="Times New Roman" w:hint="default"/>
      </w:rPr>
    </w:lvl>
    <w:lvl w:ilvl="1" w:tplc="0C0A0019">
      <w:start w:val="1"/>
      <w:numFmt w:val="lowerLetter"/>
      <w:lvlText w:val="%2."/>
      <w:lvlJc w:val="left"/>
      <w:pPr>
        <w:tabs>
          <w:tab w:val="num" w:pos="1788"/>
        </w:tabs>
        <w:ind w:left="1788" w:hanging="360"/>
      </w:pPr>
      <w:rPr>
        <w:rFonts w:ascii="Times New Roman" w:hAnsi="Times New Roman" w:cs="Times New Roman"/>
      </w:rPr>
    </w:lvl>
    <w:lvl w:ilvl="2" w:tplc="0C0A001B">
      <w:start w:val="1"/>
      <w:numFmt w:val="lowerRoman"/>
      <w:lvlText w:val="%3."/>
      <w:lvlJc w:val="right"/>
      <w:pPr>
        <w:tabs>
          <w:tab w:val="num" w:pos="2508"/>
        </w:tabs>
        <w:ind w:left="2508" w:hanging="180"/>
      </w:pPr>
      <w:rPr>
        <w:rFonts w:ascii="Times New Roman" w:hAnsi="Times New Roman" w:cs="Times New Roman"/>
      </w:rPr>
    </w:lvl>
    <w:lvl w:ilvl="3" w:tplc="0C0A000F">
      <w:start w:val="1"/>
      <w:numFmt w:val="decimal"/>
      <w:lvlText w:val="%4."/>
      <w:lvlJc w:val="left"/>
      <w:pPr>
        <w:tabs>
          <w:tab w:val="num" w:pos="3228"/>
        </w:tabs>
        <w:ind w:left="3228" w:hanging="360"/>
      </w:pPr>
      <w:rPr>
        <w:rFonts w:ascii="Times New Roman" w:hAnsi="Times New Roman" w:cs="Times New Roman"/>
      </w:rPr>
    </w:lvl>
    <w:lvl w:ilvl="4" w:tplc="0C0A0019">
      <w:start w:val="1"/>
      <w:numFmt w:val="lowerLetter"/>
      <w:lvlText w:val="%5."/>
      <w:lvlJc w:val="left"/>
      <w:pPr>
        <w:tabs>
          <w:tab w:val="num" w:pos="3948"/>
        </w:tabs>
        <w:ind w:left="3948" w:hanging="360"/>
      </w:pPr>
      <w:rPr>
        <w:rFonts w:ascii="Times New Roman" w:hAnsi="Times New Roman" w:cs="Times New Roman"/>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4">
    <w:nsid w:val="6E2E173D"/>
    <w:multiLevelType w:val="hybridMultilevel"/>
    <w:tmpl w:val="842884F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776521E2"/>
    <w:multiLevelType w:val="hybridMultilevel"/>
    <w:tmpl w:val="3CBC4990"/>
    <w:lvl w:ilvl="0" w:tplc="4B346348">
      <w:start w:val="1"/>
      <w:numFmt w:val="bullet"/>
      <w:lvlText w:val="-"/>
      <w:lvlJc w:val="left"/>
      <w:pPr>
        <w:ind w:left="1776" w:hanging="360"/>
      </w:pPr>
      <w:rPr>
        <w:rFonts w:ascii="Arial" w:eastAsia="Times New Roman" w:hAnsi="Aria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cs="Wingdings" w:hint="default"/>
      </w:rPr>
    </w:lvl>
    <w:lvl w:ilvl="3" w:tplc="0C0A0001">
      <w:start w:val="1"/>
      <w:numFmt w:val="bullet"/>
      <w:lvlText w:val=""/>
      <w:lvlJc w:val="left"/>
      <w:pPr>
        <w:ind w:left="3936" w:hanging="360"/>
      </w:pPr>
      <w:rPr>
        <w:rFonts w:ascii="Symbol" w:hAnsi="Symbol" w:cs="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cs="Wingdings" w:hint="default"/>
      </w:rPr>
    </w:lvl>
    <w:lvl w:ilvl="6" w:tplc="0C0A0001">
      <w:start w:val="1"/>
      <w:numFmt w:val="bullet"/>
      <w:lvlText w:val=""/>
      <w:lvlJc w:val="left"/>
      <w:pPr>
        <w:ind w:left="6096" w:hanging="360"/>
      </w:pPr>
      <w:rPr>
        <w:rFonts w:ascii="Symbol" w:hAnsi="Symbol" w:cs="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cs="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1C"/>
    <w:rsid w:val="00427F37"/>
    <w:rsid w:val="004854B7"/>
    <w:rsid w:val="004A6879"/>
    <w:rsid w:val="00E10D1C"/>
    <w:rsid w:val="00F5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lang w:val="es-ES" w:eastAsia="es-ES"/>
    </w:rPr>
  </w:style>
  <w:style w:type="paragraph" w:styleId="Ttulo1">
    <w:name w:val="heading 1"/>
    <w:basedOn w:val="Normal"/>
    <w:next w:val="Normal"/>
    <w:link w:val="Ttulo1Car"/>
    <w:uiPriority w:val="99"/>
    <w:qFormat/>
    <w:pPr>
      <w:keepNext/>
      <w:keepLines/>
      <w:spacing w:before="480"/>
      <w:outlineLvl w:val="0"/>
    </w:pPr>
    <w:rPr>
      <w:rFonts w:ascii="Cambria" w:hAnsi="Cambria" w:cs="Cambria"/>
      <w:b w:val="0"/>
      <w:bCs w:val="0"/>
      <w:color w:val="auto"/>
      <w:sz w:val="28"/>
      <w:szCs w:val="28"/>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color w:val="auto"/>
      <w:sz w:val="28"/>
      <w:szCs w:val="28"/>
      <w:lang w:eastAsia="es-ES"/>
    </w:rPr>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paragraph" w:styleId="Ttulo">
    <w:name w:val="Title"/>
    <w:basedOn w:val="Normal"/>
    <w:link w:val="TtuloCar"/>
    <w:uiPriority w:val="99"/>
    <w:qFormat/>
    <w:pPr>
      <w:spacing w:line="360" w:lineRule="auto"/>
      <w:jc w:val="center"/>
    </w:pPr>
    <w:rPr>
      <w:rFonts w:ascii="Arial" w:hAnsi="Arial" w:cs="Arial"/>
      <w:color w:val="auto"/>
      <w:u w:val="single"/>
      <w:lang w:val="es-UY"/>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Prrafodelista">
    <w:name w:val="List Paragraph"/>
    <w:basedOn w:val="Normal"/>
    <w:uiPriority w:val="99"/>
    <w:qFormat/>
    <w:pPr>
      <w:ind w:left="720"/>
    </w:p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rPr>
      <w:rFonts w:ascii="GothicPS" w:hAnsi="GothicPS" w:cs="GothicPS"/>
      <w:b/>
      <w:bCs/>
      <w:color w:val="000000"/>
      <w:sz w:val="20"/>
      <w:szCs w:val="20"/>
      <w:lang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GothicPS" w:hAnsi="GothicPS" w:cs="GothicPS"/>
      <w:b/>
      <w:bCs/>
      <w:color w:val="000000"/>
      <w:sz w:val="20"/>
      <w:szCs w:val="20"/>
      <w:lang w:eastAsia="es-ES"/>
    </w:rPr>
  </w:style>
  <w:style w:type="paragraph" w:styleId="Textoindependiente">
    <w:name w:val="Body Text"/>
    <w:basedOn w:val="Normal"/>
    <w:link w:val="TextoindependienteCar"/>
    <w:uiPriority w:val="99"/>
    <w:pPr>
      <w:spacing w:line="360" w:lineRule="auto"/>
      <w:jc w:val="both"/>
    </w:pPr>
    <w:rPr>
      <w:rFonts w:ascii="Arial" w:hAnsi="Arial" w:cs="Arial"/>
      <w:b w:val="0"/>
      <w:bCs w:val="0"/>
    </w:rPr>
  </w:style>
  <w:style w:type="character" w:customStyle="1" w:styleId="TextoindependienteCar">
    <w:name w:val="Texto independiente Car"/>
    <w:basedOn w:val="Fuentedeprrafopredeter"/>
    <w:link w:val="Textoindependiente"/>
    <w:uiPriority w:val="99"/>
    <w:semiHidden/>
    <w:rsid w:val="00E10D1C"/>
    <w:rPr>
      <w:rFonts w:ascii="GothicPS" w:hAnsi="GothicPS" w:cs="GothicPS"/>
      <w:b/>
      <w:bCs/>
      <w:color w:val="00000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lang w:val="es-ES" w:eastAsia="es-ES"/>
    </w:rPr>
  </w:style>
  <w:style w:type="paragraph" w:styleId="Ttulo1">
    <w:name w:val="heading 1"/>
    <w:basedOn w:val="Normal"/>
    <w:next w:val="Normal"/>
    <w:link w:val="Ttulo1Car"/>
    <w:uiPriority w:val="99"/>
    <w:qFormat/>
    <w:pPr>
      <w:keepNext/>
      <w:keepLines/>
      <w:spacing w:before="480"/>
      <w:outlineLvl w:val="0"/>
    </w:pPr>
    <w:rPr>
      <w:rFonts w:ascii="Cambria" w:hAnsi="Cambria" w:cs="Cambria"/>
      <w:b w:val="0"/>
      <w:bCs w:val="0"/>
      <w:color w:val="auto"/>
      <w:sz w:val="28"/>
      <w:szCs w:val="28"/>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color w:val="auto"/>
      <w:sz w:val="28"/>
      <w:szCs w:val="28"/>
      <w:lang w:eastAsia="es-ES"/>
    </w:rPr>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paragraph" w:styleId="Ttulo">
    <w:name w:val="Title"/>
    <w:basedOn w:val="Normal"/>
    <w:link w:val="TtuloCar"/>
    <w:uiPriority w:val="99"/>
    <w:qFormat/>
    <w:pPr>
      <w:spacing w:line="360" w:lineRule="auto"/>
      <w:jc w:val="center"/>
    </w:pPr>
    <w:rPr>
      <w:rFonts w:ascii="Arial" w:hAnsi="Arial" w:cs="Arial"/>
      <w:color w:val="auto"/>
      <w:u w:val="single"/>
      <w:lang w:val="es-UY"/>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Prrafodelista">
    <w:name w:val="List Paragraph"/>
    <w:basedOn w:val="Normal"/>
    <w:uiPriority w:val="99"/>
    <w:qFormat/>
    <w:pPr>
      <w:ind w:left="720"/>
    </w:p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rPr>
      <w:rFonts w:ascii="GothicPS" w:hAnsi="GothicPS" w:cs="GothicPS"/>
      <w:b/>
      <w:bCs/>
      <w:color w:val="000000"/>
      <w:sz w:val="20"/>
      <w:szCs w:val="20"/>
      <w:lang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GothicPS" w:hAnsi="GothicPS" w:cs="GothicPS"/>
      <w:b/>
      <w:bCs/>
      <w:color w:val="000000"/>
      <w:sz w:val="20"/>
      <w:szCs w:val="20"/>
      <w:lang w:eastAsia="es-ES"/>
    </w:rPr>
  </w:style>
  <w:style w:type="paragraph" w:styleId="Textoindependiente">
    <w:name w:val="Body Text"/>
    <w:basedOn w:val="Normal"/>
    <w:link w:val="TextoindependienteCar"/>
    <w:uiPriority w:val="99"/>
    <w:pPr>
      <w:spacing w:line="360" w:lineRule="auto"/>
      <w:jc w:val="both"/>
    </w:pPr>
    <w:rPr>
      <w:rFonts w:ascii="Arial" w:hAnsi="Arial" w:cs="Arial"/>
      <w:b w:val="0"/>
      <w:bCs w:val="0"/>
    </w:rPr>
  </w:style>
  <w:style w:type="character" w:customStyle="1" w:styleId="TextoindependienteCar">
    <w:name w:val="Texto independiente Car"/>
    <w:basedOn w:val="Fuentedeprrafopredeter"/>
    <w:link w:val="Textoindependiente"/>
    <w:uiPriority w:val="99"/>
    <w:semiHidden/>
    <w:rsid w:val="00E10D1C"/>
    <w:rPr>
      <w:rFonts w:ascii="GothicPS" w:hAnsi="GothicPS" w:cs="GothicPS"/>
      <w:b/>
      <w:bC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783</Words>
  <Characters>3965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CARPETA N°: 2014-17-1-0003516</vt:lpstr>
    </vt:vector>
  </TitlesOfParts>
  <Company>Tribunal de Cuentas</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2014-17-1-0003516</dc:title>
  <dc:subject/>
  <dc:creator>MARIZA GONZALEZ PADILLA</dc:creator>
  <cp:keywords/>
  <dc:description/>
  <cp:lastModifiedBy>11418660</cp:lastModifiedBy>
  <cp:revision>3</cp:revision>
  <cp:lastPrinted>2014-06-06T12:38:00Z</cp:lastPrinted>
  <dcterms:created xsi:type="dcterms:W3CDTF">2014-06-06T12:38:00Z</dcterms:created>
  <dcterms:modified xsi:type="dcterms:W3CDTF">2014-06-06T12:41:00Z</dcterms:modified>
</cp:coreProperties>
</file>