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5C" w:rsidRPr="005C095C" w:rsidRDefault="005C095C">
      <w:pPr>
        <w:tabs>
          <w:tab w:val="center" w:pos="4253"/>
        </w:tabs>
        <w:suppressAutoHyphens/>
        <w:jc w:val="center"/>
        <w:rPr>
          <w:rFonts w:ascii="Helvetica" w:hAnsi="Helvetica"/>
          <w:b/>
          <w:sz w:val="24"/>
          <w:szCs w:val="24"/>
          <w:lang w:val="es-ES_tradnl"/>
        </w:rPr>
      </w:pPr>
      <w:bookmarkStart w:id="0" w:name="_GoBack"/>
      <w:bookmarkEnd w:id="0"/>
      <w:r w:rsidRPr="005C095C">
        <w:rPr>
          <w:rFonts w:ascii="Helvetica" w:hAnsi="Helvetica"/>
          <w:b/>
          <w:sz w:val="24"/>
          <w:szCs w:val="24"/>
          <w:lang w:val="es-ES_tradnl"/>
        </w:rPr>
        <w:t>RESOLUCION ADOPTADA POR EL</w:t>
      </w:r>
    </w:p>
    <w:p w:rsidR="005C095C" w:rsidRPr="005C095C" w:rsidRDefault="005C095C">
      <w:pPr>
        <w:tabs>
          <w:tab w:val="left" w:pos="-720"/>
        </w:tabs>
        <w:suppressAutoHyphens/>
        <w:jc w:val="center"/>
        <w:rPr>
          <w:rFonts w:ascii="Helvetica" w:hAnsi="Helvetica"/>
          <w:b/>
          <w:sz w:val="24"/>
          <w:szCs w:val="24"/>
          <w:lang w:val="es-ES_tradnl"/>
        </w:rPr>
      </w:pPr>
    </w:p>
    <w:p w:rsidR="005C095C" w:rsidRPr="005C095C" w:rsidRDefault="005C095C">
      <w:pPr>
        <w:tabs>
          <w:tab w:val="center" w:pos="4253"/>
        </w:tabs>
        <w:suppressAutoHyphens/>
        <w:jc w:val="center"/>
        <w:rPr>
          <w:rFonts w:ascii="Helvetica" w:hAnsi="Helvetica"/>
          <w:b/>
          <w:sz w:val="24"/>
          <w:szCs w:val="24"/>
          <w:lang w:val="es-ES_tradnl"/>
        </w:rPr>
      </w:pPr>
      <w:r w:rsidRPr="005C095C">
        <w:rPr>
          <w:rFonts w:ascii="Helvetica" w:hAnsi="Helvetica"/>
          <w:b/>
          <w:sz w:val="24"/>
          <w:szCs w:val="24"/>
          <w:lang w:val="es-ES_tradnl"/>
        </w:rPr>
        <w:t>TRIBUNAL DE CUENTAS</w:t>
      </w:r>
    </w:p>
    <w:p w:rsidR="005C095C" w:rsidRPr="005C095C" w:rsidRDefault="005C095C">
      <w:pPr>
        <w:tabs>
          <w:tab w:val="left" w:pos="-720"/>
        </w:tabs>
        <w:suppressAutoHyphens/>
        <w:jc w:val="center"/>
        <w:rPr>
          <w:rFonts w:ascii="Helvetica" w:hAnsi="Helvetica"/>
          <w:b/>
          <w:sz w:val="24"/>
          <w:szCs w:val="24"/>
          <w:lang w:val="es-ES_tradnl"/>
        </w:rPr>
      </w:pPr>
    </w:p>
    <w:p w:rsidR="005C095C" w:rsidRPr="005C095C" w:rsidRDefault="005C095C">
      <w:pPr>
        <w:tabs>
          <w:tab w:val="center" w:pos="4253"/>
        </w:tabs>
        <w:suppressAutoHyphens/>
        <w:jc w:val="center"/>
        <w:rPr>
          <w:rFonts w:ascii="Helvetica" w:hAnsi="Helvetica"/>
          <w:b/>
          <w:sz w:val="24"/>
          <w:szCs w:val="24"/>
          <w:lang w:val="es-ES_tradnl"/>
        </w:rPr>
      </w:pPr>
      <w:r w:rsidRPr="005C095C">
        <w:rPr>
          <w:rFonts w:ascii="Helvetica" w:hAnsi="Helvetica"/>
          <w:b/>
          <w:sz w:val="24"/>
          <w:szCs w:val="24"/>
          <w:lang w:val="es-ES_tradnl"/>
        </w:rPr>
        <w:t>EN SESION DE FECHA 28 DE MAYO DE 2014</w:t>
      </w:r>
    </w:p>
    <w:p w:rsidR="005C095C" w:rsidRPr="005C095C" w:rsidRDefault="005C095C">
      <w:pPr>
        <w:tabs>
          <w:tab w:val="center" w:pos="4253"/>
        </w:tabs>
        <w:suppressAutoHyphens/>
        <w:jc w:val="center"/>
        <w:rPr>
          <w:rFonts w:ascii="Helvetica" w:hAnsi="Helvetica"/>
          <w:b/>
          <w:sz w:val="24"/>
          <w:szCs w:val="24"/>
          <w:lang w:val="es-ES_tradnl"/>
        </w:rPr>
      </w:pPr>
    </w:p>
    <w:p w:rsidR="005C095C" w:rsidRPr="005C095C" w:rsidRDefault="005C095C">
      <w:pPr>
        <w:tabs>
          <w:tab w:val="center" w:pos="4253"/>
        </w:tabs>
        <w:suppressAutoHyphens/>
        <w:jc w:val="center"/>
        <w:rPr>
          <w:rFonts w:ascii="Helvetica" w:hAnsi="Helvetica"/>
          <w:b/>
          <w:sz w:val="24"/>
          <w:szCs w:val="24"/>
          <w:lang w:val="es-UY"/>
        </w:rPr>
      </w:pPr>
      <w:r w:rsidRPr="005C095C">
        <w:rPr>
          <w:rFonts w:ascii="Helvetica" w:hAnsi="Helvetica"/>
          <w:b/>
          <w:sz w:val="24"/>
          <w:szCs w:val="24"/>
          <w:lang w:val="es-UY"/>
        </w:rPr>
        <w:t>(E. E. Nº 2014-17-1-0003300, Ent. N° 354/14 iniciada)</w:t>
      </w:r>
    </w:p>
    <w:p w:rsidR="005C095C" w:rsidRPr="005C095C" w:rsidRDefault="005C095C">
      <w:pPr>
        <w:tabs>
          <w:tab w:val="center" w:pos="4253"/>
        </w:tabs>
        <w:suppressAutoHyphens/>
        <w:jc w:val="center"/>
        <w:rPr>
          <w:rFonts w:ascii="Arial" w:hAnsi="Arial"/>
          <w:spacing w:val="-3"/>
          <w:sz w:val="24"/>
          <w:szCs w:val="24"/>
          <w:lang w:val="es-UY"/>
        </w:rPr>
      </w:pPr>
    </w:p>
    <w:p w:rsidR="005C095C" w:rsidRPr="005C095C" w:rsidRDefault="005C095C">
      <w:pPr>
        <w:tabs>
          <w:tab w:val="center" w:pos="4253"/>
        </w:tabs>
        <w:suppressAutoHyphens/>
        <w:rPr>
          <w:rFonts w:ascii="Arial" w:hAnsi="Arial"/>
          <w:spacing w:val="-3"/>
          <w:sz w:val="24"/>
          <w:szCs w:val="24"/>
          <w:lang w:val="es-UY"/>
        </w:rPr>
      </w:pPr>
    </w:p>
    <w:p w:rsidR="005C095C" w:rsidRDefault="00AC17BF" w:rsidP="005C095C">
      <w:pPr>
        <w:spacing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el procedimiento de intervención de las amortizaciones (Inciso 30) e intereses (Inciso 20) de los servicios de la deuda pública, bonos del tesoro y préstamos internacionales e internos dispuestos por el Ministerio de Economía y Finanzas (MEF) y abonados por el Banco Central del Uruguay (BCU);</w:t>
      </w:r>
    </w:p>
    <w:p w:rsidR="005C095C" w:rsidRDefault="00AC17BF" w:rsidP="005C095C">
      <w:pPr>
        <w:spacing w:line="360" w:lineRule="auto"/>
        <w:ind w:firstLine="851"/>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que en el año 2005 se acordó un procedimiento de intervención de amortizaciones e intereses entre la CGN y la División Auditoría de este Tribunal;</w:t>
      </w:r>
    </w:p>
    <w:p w:rsidR="005C095C" w:rsidRDefault="00AC17BF" w:rsidP="005C095C">
      <w:pPr>
        <w:spacing w:line="360" w:lineRule="auto"/>
        <w:ind w:firstLine="2694"/>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en Resolución de fecha 6 de febrero de 2013 (Carpeta 238.110), este Tribunal dispuso que la intervención de las obligaciones por regularización las realice directamente el Contador Delegado del Tribunal de Cuentas, luego que el BCU efectúa el pago, en la instancia de la registración por parte de la Contaduría General de la Nación (CGN);</w:t>
      </w:r>
    </w:p>
    <w:p w:rsidR="005C095C" w:rsidRDefault="00AC17BF" w:rsidP="005C095C">
      <w:pPr>
        <w:spacing w:line="360" w:lineRule="auto"/>
        <w:ind w:firstLine="2694"/>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en dicha Resolución no fueron considerados los intereses que se abonan como consecuencia de las amortizaciones que se efectúan;</w:t>
      </w:r>
    </w:p>
    <w:p w:rsidR="00AC17BF" w:rsidRDefault="00AC17BF" w:rsidP="005C095C">
      <w:pPr>
        <w:spacing w:line="360" w:lineRule="auto"/>
        <w:ind w:firstLine="2694"/>
        <w:jc w:val="both"/>
        <w:rPr>
          <w:rFonts w:ascii="Arial" w:hAnsi="Arial" w:cs="Arial"/>
          <w:sz w:val="24"/>
          <w:szCs w:val="24"/>
        </w:rPr>
      </w:pPr>
      <w:r>
        <w:rPr>
          <w:rFonts w:ascii="Arial" w:hAnsi="Arial" w:cs="Arial"/>
          <w:b/>
          <w:bCs/>
          <w:sz w:val="24"/>
          <w:szCs w:val="24"/>
        </w:rPr>
        <w:t xml:space="preserve">4) </w:t>
      </w:r>
      <w:r w:rsidR="005C095C">
        <w:rPr>
          <w:rFonts w:ascii="Arial" w:hAnsi="Arial" w:cs="Arial"/>
          <w:sz w:val="24"/>
          <w:szCs w:val="24"/>
        </w:rPr>
        <w:t>que de acuerdo con</w:t>
      </w:r>
      <w:r>
        <w:rPr>
          <w:rFonts w:ascii="Arial" w:hAnsi="Arial" w:cs="Arial"/>
          <w:sz w:val="24"/>
          <w:szCs w:val="24"/>
        </w:rPr>
        <w:t xml:space="preserve"> la información recabada por los servicios técnicos de este Tribunal en la CGN y el BCU, el proceso de pago y contabilización de las amortizaciones e intereses que se realiza no hacen posible cumplir con la intervención preventiva correspondiente;</w:t>
      </w:r>
    </w:p>
    <w:p w:rsidR="00AC17BF" w:rsidRDefault="00AC17BF" w:rsidP="00586BD6">
      <w:pPr>
        <w:spacing w:line="360" w:lineRule="auto"/>
        <w:ind w:firstLine="851"/>
        <w:jc w:val="both"/>
        <w:rPr>
          <w:rFonts w:ascii="Arial" w:hAnsi="Arial" w:cs="Arial"/>
          <w:sz w:val="24"/>
          <w:szCs w:val="24"/>
        </w:rPr>
      </w:pPr>
      <w:r>
        <w:rPr>
          <w:rFonts w:ascii="Arial" w:hAnsi="Arial" w:cs="Arial"/>
          <w:b/>
          <w:bCs/>
          <w:sz w:val="24"/>
          <w:szCs w:val="24"/>
        </w:rPr>
        <w:t>CONSIDERANDO:</w:t>
      </w:r>
      <w:r w:rsidR="003F7814">
        <w:rPr>
          <w:rFonts w:ascii="Arial" w:hAnsi="Arial" w:cs="Arial"/>
          <w:b/>
          <w:bCs/>
          <w:sz w:val="24"/>
          <w:szCs w:val="24"/>
        </w:rPr>
        <w:t xml:space="preserve"> </w:t>
      </w:r>
      <w:r>
        <w:rPr>
          <w:rFonts w:ascii="Arial" w:hAnsi="Arial" w:cs="Arial"/>
          <w:sz w:val="24"/>
          <w:szCs w:val="24"/>
        </w:rPr>
        <w:t>que se considera oportuno extender el procedimiento de intervención de las amortizaciones dispuesto en la Resolución de 6 de febrero de 2013 citada a los intereses que se generan al atender los servicios de deuda;</w:t>
      </w:r>
    </w:p>
    <w:p w:rsidR="00AC17BF" w:rsidRDefault="00AC17BF" w:rsidP="00586BD6">
      <w:pPr>
        <w:spacing w:line="360" w:lineRule="auto"/>
        <w:ind w:firstLine="851"/>
        <w:jc w:val="both"/>
        <w:rPr>
          <w:rFonts w:ascii="Arial" w:hAnsi="Arial" w:cs="Arial"/>
          <w:sz w:val="24"/>
          <w:szCs w:val="24"/>
        </w:rPr>
      </w:pPr>
      <w:r>
        <w:rPr>
          <w:rFonts w:ascii="Arial" w:hAnsi="Arial" w:cs="Arial"/>
          <w:b/>
          <w:bCs/>
          <w:sz w:val="24"/>
          <w:szCs w:val="24"/>
        </w:rPr>
        <w:lastRenderedPageBreak/>
        <w:t xml:space="preserve">ATENTO: </w:t>
      </w:r>
      <w:r>
        <w:rPr>
          <w:rFonts w:ascii="Arial" w:hAnsi="Arial" w:cs="Arial"/>
          <w:sz w:val="24"/>
          <w:szCs w:val="24"/>
        </w:rPr>
        <w:t>a lo precedentemente expue</w:t>
      </w:r>
      <w:r w:rsidR="00586BD6">
        <w:rPr>
          <w:rFonts w:ascii="Arial" w:hAnsi="Arial" w:cs="Arial"/>
          <w:sz w:val="24"/>
          <w:szCs w:val="24"/>
        </w:rPr>
        <w:t>sto y a lo dispuesto por el Artículo</w:t>
      </w:r>
      <w:r>
        <w:rPr>
          <w:rFonts w:ascii="Arial" w:hAnsi="Arial" w:cs="Arial"/>
          <w:sz w:val="24"/>
          <w:szCs w:val="24"/>
        </w:rPr>
        <w:t xml:space="preserve"> 211 </w:t>
      </w:r>
      <w:r w:rsidR="00586BD6">
        <w:rPr>
          <w:rFonts w:ascii="Arial" w:hAnsi="Arial" w:cs="Arial"/>
          <w:sz w:val="24"/>
          <w:szCs w:val="24"/>
        </w:rPr>
        <w:t>L</w:t>
      </w:r>
      <w:r>
        <w:rPr>
          <w:rFonts w:ascii="Arial" w:hAnsi="Arial" w:cs="Arial"/>
          <w:sz w:val="24"/>
          <w:szCs w:val="24"/>
        </w:rPr>
        <w:t>it</w:t>
      </w:r>
      <w:r w:rsidR="00586BD6">
        <w:rPr>
          <w:rFonts w:ascii="Arial" w:hAnsi="Arial" w:cs="Arial"/>
          <w:sz w:val="24"/>
          <w:szCs w:val="24"/>
        </w:rPr>
        <w:t>eral</w:t>
      </w:r>
      <w:r>
        <w:rPr>
          <w:rFonts w:ascii="Arial" w:hAnsi="Arial" w:cs="Arial"/>
          <w:sz w:val="24"/>
          <w:szCs w:val="24"/>
        </w:rPr>
        <w:t xml:space="preserve"> B) de </w:t>
      </w:r>
      <w:r w:rsidR="003F7814">
        <w:rPr>
          <w:rFonts w:ascii="Arial" w:hAnsi="Arial" w:cs="Arial"/>
          <w:sz w:val="24"/>
          <w:szCs w:val="24"/>
        </w:rPr>
        <w:t>la Constitución de la República;</w:t>
      </w:r>
    </w:p>
    <w:p w:rsidR="00AC17BF" w:rsidRDefault="00AC17BF" w:rsidP="00586BD6">
      <w:pPr>
        <w:spacing w:line="360" w:lineRule="auto"/>
        <w:jc w:val="center"/>
        <w:rPr>
          <w:rFonts w:ascii="Arial" w:hAnsi="Arial" w:cs="Arial"/>
          <w:b/>
          <w:bCs/>
          <w:sz w:val="24"/>
          <w:szCs w:val="24"/>
        </w:rPr>
      </w:pPr>
      <w:r>
        <w:rPr>
          <w:rFonts w:ascii="Arial" w:hAnsi="Arial" w:cs="Arial"/>
          <w:b/>
          <w:bCs/>
          <w:sz w:val="24"/>
          <w:szCs w:val="24"/>
        </w:rPr>
        <w:t>EL TRIBUNAL ACUERDA</w:t>
      </w:r>
    </w:p>
    <w:p w:rsidR="00AC17BF" w:rsidRDefault="00AC17BF">
      <w:pPr>
        <w:numPr>
          <w:ilvl w:val="0"/>
          <w:numId w:val="1"/>
        </w:numPr>
        <w:tabs>
          <w:tab w:val="clear" w:pos="720"/>
          <w:tab w:val="num" w:pos="360"/>
        </w:tabs>
        <w:spacing w:line="360" w:lineRule="auto"/>
        <w:ind w:hanging="720"/>
        <w:jc w:val="both"/>
        <w:rPr>
          <w:rFonts w:ascii="Arial" w:hAnsi="Arial" w:cs="Arial"/>
          <w:sz w:val="24"/>
          <w:szCs w:val="24"/>
        </w:rPr>
      </w:pPr>
      <w:r>
        <w:rPr>
          <w:rFonts w:ascii="Arial" w:hAnsi="Arial" w:cs="Arial"/>
          <w:sz w:val="24"/>
          <w:szCs w:val="24"/>
        </w:rPr>
        <w:t>Expedirse en los términos del Considerando precedente;</w:t>
      </w:r>
    </w:p>
    <w:p w:rsidR="00AC17BF" w:rsidRDefault="00AC17BF" w:rsidP="00586BD6">
      <w:pPr>
        <w:numPr>
          <w:ilvl w:val="0"/>
          <w:numId w:val="1"/>
        </w:numPr>
        <w:tabs>
          <w:tab w:val="clear" w:pos="720"/>
          <w:tab w:val="num" w:pos="360"/>
        </w:tabs>
        <w:spacing w:line="360" w:lineRule="auto"/>
        <w:ind w:left="360"/>
        <w:jc w:val="both"/>
      </w:pPr>
      <w:r>
        <w:rPr>
          <w:rFonts w:ascii="Arial" w:hAnsi="Arial" w:cs="Arial"/>
          <w:sz w:val="24"/>
          <w:szCs w:val="24"/>
        </w:rPr>
        <w:t>Comunicar la presente Resolución al Ministerio de Economía y Fin</w:t>
      </w:r>
      <w:r w:rsidR="00586BD6">
        <w:rPr>
          <w:rFonts w:ascii="Arial" w:hAnsi="Arial" w:cs="Arial"/>
          <w:sz w:val="24"/>
          <w:szCs w:val="24"/>
        </w:rPr>
        <w:t>anzas.</w:t>
      </w:r>
    </w:p>
    <w:p w:rsidR="00586BD6" w:rsidRPr="00586BD6" w:rsidRDefault="00586BD6" w:rsidP="00586BD6">
      <w:pPr>
        <w:spacing w:line="360" w:lineRule="auto"/>
        <w:ind w:hanging="426"/>
        <w:jc w:val="both"/>
        <w:rPr>
          <w:rFonts w:ascii="Arial" w:hAnsi="Arial" w:cs="Arial"/>
          <w:sz w:val="24"/>
          <w:szCs w:val="24"/>
        </w:rPr>
      </w:pPr>
      <w:proofErr w:type="gramStart"/>
      <w:r w:rsidRPr="00586BD6">
        <w:rPr>
          <w:rFonts w:ascii="Arial" w:hAnsi="Arial" w:cs="Arial"/>
          <w:sz w:val="24"/>
          <w:szCs w:val="24"/>
        </w:rPr>
        <w:t>dc</w:t>
      </w:r>
      <w:proofErr w:type="gramEnd"/>
    </w:p>
    <w:sectPr w:rsidR="00586BD6" w:rsidRPr="00586BD6" w:rsidSect="00586BD6">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00C78"/>
    <w:multiLevelType w:val="hybridMultilevel"/>
    <w:tmpl w:val="1FDEE73A"/>
    <w:lvl w:ilvl="0" w:tplc="560097A2">
      <w:start w:val="1"/>
      <w:numFmt w:val="decimal"/>
      <w:lvlText w:val="%1)"/>
      <w:lvlJc w:val="left"/>
      <w:pPr>
        <w:tabs>
          <w:tab w:val="num" w:pos="720"/>
        </w:tabs>
        <w:ind w:left="720" w:hanging="360"/>
      </w:pPr>
      <w:rPr>
        <w:rFonts w:ascii="Arial" w:hAnsi="Arial" w:cs="Arial" w:hint="default"/>
        <w:b/>
        <w:bCs/>
        <w:sz w:val="24"/>
        <w:szCs w:val="24"/>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7BF"/>
    <w:rsid w:val="003F7814"/>
    <w:rsid w:val="00586BD6"/>
    <w:rsid w:val="005C095C"/>
    <w:rsid w:val="00AC1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Ttulo1">
    <w:name w:val="heading 1"/>
    <w:basedOn w:val="Normal"/>
    <w:next w:val="Normal"/>
    <w:link w:val="Ttulo1Car"/>
    <w:uiPriority w:val="99"/>
    <w:qFormat/>
    <w:pPr>
      <w:keepNext/>
      <w:outlineLvl w:val="0"/>
    </w:pPr>
    <w:rPr>
      <w:rFonts w:ascii="Arial" w:hAnsi="Arial" w:cs="Arial"/>
      <w:sz w:val="24"/>
      <w:szCs w:val="24"/>
    </w:rPr>
  </w:style>
  <w:style w:type="paragraph" w:styleId="Ttulo2">
    <w:name w:val="heading 2"/>
    <w:basedOn w:val="Normal"/>
    <w:next w:val="Normal"/>
    <w:link w:val="Ttulo2Car"/>
    <w:uiPriority w:val="99"/>
    <w:qFormat/>
    <w:pPr>
      <w:keepNext/>
      <w:spacing w:line="360" w:lineRule="auto"/>
      <w:jc w:val="both"/>
      <w:outlineLvl w:val="1"/>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sz w:val="20"/>
      <w:szCs w:val="20"/>
      <w:lang w:eastAsia="es-ES"/>
    </w:rPr>
  </w:style>
  <w:style w:type="character" w:customStyle="1" w:styleId="Ttulo2Car">
    <w:name w:val="Título 2 Car"/>
    <w:basedOn w:val="Fuentedeprrafopredeter"/>
    <w:link w:val="Ttulo2"/>
    <w:uiPriority w:val="9"/>
    <w:semiHidden/>
    <w:rsid w:val="00AC17BF"/>
    <w:rPr>
      <w:rFonts w:asciiTheme="majorHAnsi" w:eastAsiaTheme="majorEastAsia" w:hAnsiTheme="majorHAnsi" w:cstheme="majorBidi"/>
      <w:b/>
      <w:bCs/>
      <w:i/>
      <w:iCs/>
      <w:sz w:val="28"/>
      <w:szCs w:val="28"/>
    </w:rPr>
  </w:style>
  <w:style w:type="paragraph" w:styleId="Sangra2detindependiente">
    <w:name w:val="Body Text Indent 2"/>
    <w:basedOn w:val="Normal"/>
    <w:link w:val="Sangra2detindependienteCar"/>
    <w:uiPriority w:val="99"/>
    <w:pPr>
      <w:spacing w:line="360" w:lineRule="auto"/>
      <w:ind w:firstLine="709"/>
      <w:jc w:val="both"/>
    </w:pPr>
    <w:rPr>
      <w:rFonts w:ascii="Arial" w:hAnsi="Arial" w:cs="Arial"/>
      <w:sz w:val="24"/>
      <w:szCs w:val="24"/>
    </w:rPr>
  </w:style>
  <w:style w:type="character" w:customStyle="1" w:styleId="Sangra2detindependienteCar">
    <w:name w:val="Sangría 2 de t. independiente Car"/>
    <w:basedOn w:val="Fuentedeprrafopredeter"/>
    <w:link w:val="Sangra2detindependiente"/>
    <w:uiPriority w:val="99"/>
    <w:rPr>
      <w:rFonts w:ascii="Arial"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Montevideo, 20 de mayo de 2014</vt:lpstr>
    </vt:vector>
  </TitlesOfParts>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20 de mayo de 2014</dc:title>
  <dc:subject/>
  <dc:creator>Alejandra Prunell</dc:creator>
  <cp:keywords/>
  <dc:description/>
  <cp:lastModifiedBy> </cp:lastModifiedBy>
  <cp:revision>3</cp:revision>
  <dcterms:created xsi:type="dcterms:W3CDTF">2014-05-30T20:49:00Z</dcterms:created>
  <dcterms:modified xsi:type="dcterms:W3CDTF">2014-06-27T20:25:00Z</dcterms:modified>
</cp:coreProperties>
</file>