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EB1" w:rsidRDefault="00DC7EB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DC7EB1" w:rsidRDefault="00DC7EB1">
      <w:pPr>
        <w:tabs>
          <w:tab w:val="left" w:pos="-720"/>
        </w:tabs>
        <w:suppressAutoHyphens/>
        <w:jc w:val="center"/>
        <w:rPr>
          <w:rFonts w:ascii="Helvetica" w:hAnsi="Helvetica"/>
          <w:b/>
          <w:lang w:val="es-ES_tradnl"/>
        </w:rPr>
      </w:pPr>
    </w:p>
    <w:p w:rsidR="00DC7EB1" w:rsidRDefault="00DC7EB1">
      <w:pPr>
        <w:tabs>
          <w:tab w:val="center" w:pos="4253"/>
        </w:tabs>
        <w:suppressAutoHyphens/>
        <w:jc w:val="center"/>
        <w:rPr>
          <w:rFonts w:ascii="Helvetica" w:hAnsi="Helvetica"/>
          <w:b/>
          <w:lang w:val="es-ES_tradnl"/>
        </w:rPr>
      </w:pPr>
      <w:r>
        <w:rPr>
          <w:rFonts w:ascii="Helvetica" w:hAnsi="Helvetica"/>
          <w:b/>
          <w:lang w:val="es-ES_tradnl"/>
        </w:rPr>
        <w:t>TRIBUNAL DE CUENTAS</w:t>
      </w:r>
    </w:p>
    <w:p w:rsidR="00DC7EB1" w:rsidRDefault="00DC7EB1">
      <w:pPr>
        <w:tabs>
          <w:tab w:val="left" w:pos="-720"/>
        </w:tabs>
        <w:suppressAutoHyphens/>
        <w:jc w:val="center"/>
        <w:rPr>
          <w:rFonts w:ascii="Helvetica" w:hAnsi="Helvetica"/>
          <w:b/>
          <w:lang w:val="es-ES_tradnl"/>
        </w:rPr>
      </w:pPr>
    </w:p>
    <w:p w:rsidR="00DC7EB1" w:rsidRDefault="00DC7EB1">
      <w:pPr>
        <w:tabs>
          <w:tab w:val="center" w:pos="4253"/>
        </w:tabs>
        <w:suppressAutoHyphens/>
        <w:jc w:val="center"/>
        <w:rPr>
          <w:rFonts w:ascii="Helvetica" w:hAnsi="Helvetica"/>
          <w:b/>
          <w:lang w:val="es-ES_tradnl"/>
        </w:rPr>
      </w:pPr>
      <w:r>
        <w:rPr>
          <w:rFonts w:ascii="Helvetica" w:hAnsi="Helvetica"/>
          <w:b/>
          <w:lang w:val="es-ES_tradnl"/>
        </w:rPr>
        <w:t xml:space="preserve">EN SESION DE FECHA </w:t>
      </w:r>
      <w:r w:rsidRPr="00350330">
        <w:rPr>
          <w:rFonts w:ascii="Arial" w:hAnsi="Arial" w:cs="Arial"/>
          <w:b/>
          <w:lang w:val="es-ES_tradnl"/>
        </w:rPr>
        <w:t>21 DE MAYO DE 2014</w:t>
      </w:r>
    </w:p>
    <w:p w:rsidR="00DC7EB1" w:rsidRDefault="00DC7EB1">
      <w:pPr>
        <w:tabs>
          <w:tab w:val="center" w:pos="4253"/>
        </w:tabs>
        <w:suppressAutoHyphens/>
        <w:jc w:val="center"/>
        <w:rPr>
          <w:rFonts w:ascii="Helvetica" w:hAnsi="Helvetica"/>
          <w:b/>
          <w:lang w:val="es-ES_tradnl"/>
        </w:rPr>
      </w:pPr>
    </w:p>
    <w:p w:rsidR="00DC7EB1" w:rsidRDefault="00DC7EB1">
      <w:pPr>
        <w:tabs>
          <w:tab w:val="center" w:pos="4253"/>
        </w:tabs>
        <w:suppressAutoHyphens/>
        <w:jc w:val="center"/>
        <w:rPr>
          <w:rFonts w:ascii="Helvetica" w:hAnsi="Helvetica"/>
          <w:b/>
          <w:lang w:val="es-ES_tradnl"/>
        </w:rPr>
      </w:pPr>
      <w:r>
        <w:rPr>
          <w:rFonts w:ascii="Helvetica" w:hAnsi="Helvetica"/>
          <w:b/>
          <w:lang w:val="es-ES_tradnl"/>
        </w:rPr>
        <w:t xml:space="preserve">(E.E. Nº 2013-17-1-0003904, </w:t>
      </w:r>
      <w:proofErr w:type="spellStart"/>
      <w:r>
        <w:rPr>
          <w:rFonts w:ascii="Helvetica" w:hAnsi="Helvetica"/>
          <w:b/>
          <w:lang w:val="es-ES_tradnl"/>
        </w:rPr>
        <w:t>Ents</w:t>
      </w:r>
      <w:proofErr w:type="spellEnd"/>
      <w:r>
        <w:rPr>
          <w:rFonts w:ascii="Helvetica" w:hAnsi="Helvetica"/>
          <w:b/>
          <w:lang w:val="es-ES_tradnl"/>
        </w:rPr>
        <w:t xml:space="preserve">. </w:t>
      </w:r>
      <w:proofErr w:type="spellStart"/>
      <w:r>
        <w:rPr>
          <w:rFonts w:ascii="Helvetica" w:hAnsi="Helvetica"/>
          <w:b/>
          <w:lang w:val="es-ES_tradnl"/>
        </w:rPr>
        <w:t>Nros</w:t>
      </w:r>
      <w:proofErr w:type="spellEnd"/>
      <w:r>
        <w:rPr>
          <w:rFonts w:ascii="Helvetica" w:hAnsi="Helvetica"/>
          <w:b/>
          <w:lang w:val="es-ES_tradnl"/>
        </w:rPr>
        <w:t>. 1666/14 y 2751/14)</w:t>
      </w:r>
    </w:p>
    <w:p w:rsidR="00DC7EB1" w:rsidRDefault="00DC7EB1">
      <w:pPr>
        <w:tabs>
          <w:tab w:val="center" w:pos="4253"/>
        </w:tabs>
        <w:suppressAutoHyphens/>
        <w:jc w:val="center"/>
        <w:rPr>
          <w:rFonts w:ascii="Arial" w:hAnsi="Arial"/>
          <w:spacing w:val="-3"/>
          <w:lang w:val="es-ES_tradnl"/>
        </w:rPr>
      </w:pPr>
    </w:p>
    <w:p w:rsidR="00DC7EB1" w:rsidRDefault="00DC7EB1">
      <w:pPr>
        <w:tabs>
          <w:tab w:val="center" w:pos="4253"/>
        </w:tabs>
        <w:suppressAutoHyphens/>
        <w:rPr>
          <w:rFonts w:ascii="Arial" w:hAnsi="Arial"/>
          <w:spacing w:val="-3"/>
          <w:lang w:val="es-ES_tradnl"/>
        </w:rPr>
      </w:pPr>
    </w:p>
    <w:p w:rsidR="00DC7EB1" w:rsidRDefault="00DC7EB1" w:rsidP="00DC7EB1">
      <w:pPr>
        <w:spacing w:line="360" w:lineRule="auto"/>
        <w:ind w:firstLine="851"/>
        <w:jc w:val="both"/>
        <w:rPr>
          <w:rFonts w:ascii="Arial" w:hAnsi="Arial" w:cs="Arial"/>
          <w:b/>
          <w:bCs/>
        </w:rPr>
      </w:pPr>
    </w:p>
    <w:p w:rsidR="00DC7EB1" w:rsidRDefault="00DC7EB1" w:rsidP="00DC7EB1">
      <w:pPr>
        <w:spacing w:line="360" w:lineRule="auto"/>
        <w:ind w:firstLine="851"/>
        <w:jc w:val="both"/>
        <w:rPr>
          <w:rFonts w:ascii="Arial" w:hAnsi="Arial" w:cs="Arial"/>
        </w:rPr>
      </w:pPr>
      <w:r>
        <w:rPr>
          <w:rFonts w:ascii="Arial" w:hAnsi="Arial" w:cs="Arial"/>
          <w:b/>
          <w:bCs/>
        </w:rPr>
        <w:t>VISTO:</w:t>
      </w:r>
      <w:r>
        <w:rPr>
          <w:rFonts w:ascii="Arial" w:hAnsi="Arial" w:cs="Arial"/>
        </w:rPr>
        <w:t xml:space="preserve"> las actuaciones remitidas por la Administración Nacional de Telecomunicaciones, relacionadas con la ampliación de la contratación para la prestación  de servicios de instalación de redes de fibra óptica hasta el hogar para los Departamentos de Lavalleja, Treinta y Tres y Rocha;</w:t>
      </w:r>
    </w:p>
    <w:p w:rsidR="00DC7EB1" w:rsidRDefault="00DC7EB1" w:rsidP="00DC7EB1">
      <w:pPr>
        <w:spacing w:line="360" w:lineRule="auto"/>
        <w:ind w:firstLine="851"/>
        <w:jc w:val="both"/>
        <w:rPr>
          <w:rFonts w:ascii="Arial" w:hAnsi="Arial" w:cs="Arial"/>
        </w:rPr>
      </w:pPr>
      <w:r>
        <w:rPr>
          <w:rFonts w:ascii="Arial" w:hAnsi="Arial" w:cs="Arial"/>
          <w:b/>
          <w:bCs/>
        </w:rPr>
        <w:t>RESULTANDO: 1)</w:t>
      </w:r>
      <w:r>
        <w:rPr>
          <w:rFonts w:ascii="Arial" w:hAnsi="Arial" w:cs="Arial"/>
        </w:rPr>
        <w:t xml:space="preserve"> que por Resolución Nº 1022/2013 de fecha 13.06.13, el Directorio aprobó la contratación de </w:t>
      </w:r>
      <w:proofErr w:type="spellStart"/>
      <w:r>
        <w:rPr>
          <w:rFonts w:ascii="Arial" w:hAnsi="Arial" w:cs="Arial"/>
        </w:rPr>
        <w:t>Ebital</w:t>
      </w:r>
      <w:proofErr w:type="spellEnd"/>
      <w:r>
        <w:rPr>
          <w:rFonts w:ascii="Arial" w:hAnsi="Arial" w:cs="Arial"/>
        </w:rPr>
        <w:t xml:space="preserve"> S</w:t>
      </w:r>
      <w:r w:rsidR="00605070">
        <w:rPr>
          <w:rFonts w:ascii="Arial" w:hAnsi="Arial" w:cs="Arial"/>
        </w:rPr>
        <w:t>.</w:t>
      </w:r>
      <w:r>
        <w:rPr>
          <w:rFonts w:ascii="Arial" w:hAnsi="Arial" w:cs="Arial"/>
        </w:rPr>
        <w:t>A</w:t>
      </w:r>
      <w:r w:rsidR="00605070">
        <w:rPr>
          <w:rFonts w:ascii="Arial" w:hAnsi="Arial" w:cs="Arial"/>
        </w:rPr>
        <w:t>.</w:t>
      </w:r>
      <w:bookmarkStart w:id="0" w:name="_GoBack"/>
      <w:bookmarkEnd w:id="0"/>
      <w:r>
        <w:rPr>
          <w:rFonts w:ascii="Arial" w:hAnsi="Arial" w:cs="Arial"/>
        </w:rPr>
        <w:t>, al amparo de lo dispuesto por el Artículo 33 Literal C) Numeral 22) del TOCAF, por un monto total de $ 219:600.000 (impuestos incluidos);</w:t>
      </w:r>
    </w:p>
    <w:p w:rsidR="00DC7EB1" w:rsidRDefault="00DC7EB1" w:rsidP="00DC7EB1">
      <w:pPr>
        <w:spacing w:line="360" w:lineRule="auto"/>
        <w:ind w:firstLine="2835"/>
        <w:jc w:val="both"/>
        <w:rPr>
          <w:rFonts w:ascii="Arial" w:hAnsi="Arial" w:cs="Arial"/>
        </w:rPr>
      </w:pPr>
      <w:r>
        <w:rPr>
          <w:rFonts w:ascii="Arial" w:hAnsi="Arial" w:cs="Arial"/>
          <w:b/>
          <w:bCs/>
        </w:rPr>
        <w:t xml:space="preserve">2) </w:t>
      </w:r>
      <w:r>
        <w:rPr>
          <w:rFonts w:ascii="Arial" w:hAnsi="Arial" w:cs="Arial"/>
        </w:rPr>
        <w:t>que este Tribunal</w:t>
      </w:r>
      <w:r>
        <w:rPr>
          <w:rFonts w:ascii="Arial" w:hAnsi="Arial" w:cs="Arial"/>
        </w:rPr>
        <w:t>,</w:t>
      </w:r>
      <w:r>
        <w:rPr>
          <w:rFonts w:ascii="Arial" w:hAnsi="Arial" w:cs="Arial"/>
        </w:rPr>
        <w:t xml:space="preserve"> en Sesión de fecha 24 de </w:t>
      </w:r>
      <w:r>
        <w:rPr>
          <w:rFonts w:ascii="Arial" w:hAnsi="Arial" w:cs="Arial"/>
        </w:rPr>
        <w:t>julio de 2013, observó el gasto</w:t>
      </w:r>
      <w:r>
        <w:rPr>
          <w:rFonts w:ascii="Arial" w:hAnsi="Arial" w:cs="Arial"/>
        </w:rPr>
        <w:t xml:space="preserve"> en razón de que se contravino lo dispuesto por el Artículo 15 del TOCAF;</w:t>
      </w:r>
    </w:p>
    <w:p w:rsidR="00DC7EB1" w:rsidRDefault="00DC7EB1" w:rsidP="00DC7EB1">
      <w:pPr>
        <w:spacing w:line="360" w:lineRule="auto"/>
        <w:ind w:firstLine="2835"/>
        <w:jc w:val="both"/>
        <w:rPr>
          <w:rFonts w:ascii="Arial" w:hAnsi="Arial" w:cs="Arial"/>
        </w:rPr>
      </w:pPr>
      <w:r>
        <w:rPr>
          <w:rFonts w:ascii="Arial" w:hAnsi="Arial" w:cs="Arial"/>
          <w:b/>
          <w:bCs/>
        </w:rPr>
        <w:t>3)</w:t>
      </w:r>
      <w:r>
        <w:rPr>
          <w:rFonts w:ascii="Arial" w:hAnsi="Arial" w:cs="Arial"/>
        </w:rPr>
        <w:t xml:space="preserve"> que por Resolución Nº 1418/13 de fecha 08.08.13, el Ordenador dispuso reiterar el gasto y este Tribunal, en Sesión de fecha 6 de noviembre de 2013, mantuvo la observación formulada;</w:t>
      </w:r>
    </w:p>
    <w:p w:rsidR="00DC7EB1" w:rsidRDefault="00DC7EB1" w:rsidP="00DC7EB1">
      <w:pPr>
        <w:spacing w:line="360" w:lineRule="auto"/>
        <w:ind w:firstLine="2835"/>
        <w:jc w:val="both"/>
        <w:rPr>
          <w:rFonts w:ascii="Arial" w:hAnsi="Arial" w:cs="Arial"/>
        </w:rPr>
      </w:pPr>
      <w:r w:rsidRPr="00DE3CF7">
        <w:rPr>
          <w:rFonts w:ascii="Arial" w:hAnsi="Arial" w:cs="Arial"/>
          <w:b/>
        </w:rPr>
        <w:t>4</w:t>
      </w:r>
      <w:r w:rsidRPr="00DE3CF7">
        <w:rPr>
          <w:rFonts w:ascii="Arial" w:hAnsi="Arial" w:cs="Arial"/>
          <w:b/>
          <w:bCs/>
        </w:rPr>
        <w:t>)</w:t>
      </w:r>
      <w:r w:rsidRPr="00DE3CF7">
        <w:rPr>
          <w:rFonts w:ascii="Arial" w:hAnsi="Arial" w:cs="Arial"/>
        </w:rPr>
        <w:t xml:space="preserve"> que en esta oportunidad se remite Resolución Nº409/2014 de fecha 13 de marzo de 2014, por la que el Directorio dispuso  aprobar -sujeta a la intervención preventiva de le</w:t>
      </w:r>
      <w:r>
        <w:rPr>
          <w:rFonts w:ascii="Arial" w:hAnsi="Arial" w:cs="Arial"/>
        </w:rPr>
        <w:t xml:space="preserve">galidad del Tribunal de Cuentas- </w:t>
      </w:r>
      <w:r w:rsidRPr="00DE3CF7">
        <w:rPr>
          <w:rFonts w:ascii="Arial" w:hAnsi="Arial" w:cs="Arial"/>
        </w:rPr>
        <w:t>la  ampliación de</w:t>
      </w:r>
      <w:r>
        <w:rPr>
          <w:rFonts w:ascii="Arial" w:hAnsi="Arial" w:cs="Arial"/>
        </w:rPr>
        <w:t>l 100% de la contratación</w:t>
      </w:r>
      <w:r w:rsidRPr="00DE3CF7">
        <w:rPr>
          <w:rFonts w:ascii="Arial" w:hAnsi="Arial" w:cs="Arial"/>
        </w:rPr>
        <w:t>,</w:t>
      </w:r>
      <w:r>
        <w:rPr>
          <w:rFonts w:ascii="Arial" w:hAnsi="Arial" w:cs="Arial"/>
        </w:rPr>
        <w:t xml:space="preserve"> </w:t>
      </w:r>
      <w:r w:rsidRPr="00DE3CF7">
        <w:rPr>
          <w:rFonts w:ascii="Arial" w:hAnsi="Arial" w:cs="Arial"/>
        </w:rPr>
        <w:t>al</w:t>
      </w:r>
      <w:r>
        <w:rPr>
          <w:rFonts w:ascii="Arial" w:hAnsi="Arial" w:cs="Arial"/>
        </w:rPr>
        <w:t xml:space="preserve"> amparo de lo dispuesto por el A</w:t>
      </w:r>
      <w:r w:rsidRPr="00DE3CF7">
        <w:rPr>
          <w:rFonts w:ascii="Arial" w:hAnsi="Arial" w:cs="Arial"/>
        </w:rPr>
        <w:t>rtículo 74 del TOCAF, por un monto total de $</w:t>
      </w:r>
      <w:r>
        <w:rPr>
          <w:rFonts w:ascii="Arial" w:hAnsi="Arial" w:cs="Arial"/>
        </w:rPr>
        <w:t xml:space="preserve"> </w:t>
      </w:r>
      <w:r w:rsidRPr="00DE3CF7">
        <w:rPr>
          <w:rFonts w:ascii="Arial" w:hAnsi="Arial" w:cs="Arial"/>
        </w:rPr>
        <w:t>219</w:t>
      </w:r>
      <w:r>
        <w:rPr>
          <w:rFonts w:ascii="Arial" w:hAnsi="Arial" w:cs="Arial"/>
        </w:rPr>
        <w:t>:600.000 (IVA incluido);</w:t>
      </w:r>
    </w:p>
    <w:p w:rsidR="00DC7EB1" w:rsidRDefault="00DC7EB1" w:rsidP="00DC7EB1">
      <w:pPr>
        <w:spacing w:line="360" w:lineRule="auto"/>
        <w:ind w:firstLine="2835"/>
        <w:jc w:val="both"/>
        <w:rPr>
          <w:rFonts w:ascii="Arial" w:hAnsi="Arial" w:cs="Arial"/>
        </w:rPr>
      </w:pPr>
      <w:r w:rsidRPr="00AF65C7">
        <w:rPr>
          <w:rFonts w:ascii="Arial" w:hAnsi="Arial" w:cs="Arial"/>
          <w:b/>
        </w:rPr>
        <w:t>5)</w:t>
      </w:r>
      <w:r w:rsidRPr="00AF65C7">
        <w:rPr>
          <w:rFonts w:ascii="Arial" w:hAnsi="Arial" w:cs="Arial"/>
        </w:rPr>
        <w:t xml:space="preserve"> que se dej</w:t>
      </w:r>
      <w:r>
        <w:rPr>
          <w:rFonts w:ascii="Arial" w:hAnsi="Arial" w:cs="Arial"/>
        </w:rPr>
        <w:t xml:space="preserve">a constancia que la </w:t>
      </w:r>
      <w:r>
        <w:rPr>
          <w:rFonts w:ascii="Arial" w:hAnsi="Arial" w:cs="Arial"/>
        </w:rPr>
        <w:t>F</w:t>
      </w:r>
      <w:r>
        <w:rPr>
          <w:rFonts w:ascii="Arial" w:hAnsi="Arial" w:cs="Arial"/>
        </w:rPr>
        <w:t>irma prestó</w:t>
      </w:r>
      <w:r w:rsidRPr="00AF65C7">
        <w:rPr>
          <w:rFonts w:ascii="Arial" w:hAnsi="Arial" w:cs="Arial"/>
        </w:rPr>
        <w:t xml:space="preserve"> su conformidad </w:t>
      </w:r>
      <w:r>
        <w:rPr>
          <w:rFonts w:ascii="Arial" w:hAnsi="Arial" w:cs="Arial"/>
        </w:rPr>
        <w:t>con</w:t>
      </w:r>
      <w:r w:rsidRPr="00AF65C7">
        <w:rPr>
          <w:rFonts w:ascii="Arial" w:hAnsi="Arial" w:cs="Arial"/>
        </w:rPr>
        <w:t xml:space="preserve"> la ampliación gestionada;</w:t>
      </w:r>
    </w:p>
    <w:p w:rsidR="00DC7EB1" w:rsidRPr="00AF65C7" w:rsidRDefault="00DC7EB1" w:rsidP="00DC7EB1">
      <w:pPr>
        <w:spacing w:line="360" w:lineRule="auto"/>
        <w:ind w:firstLine="2835"/>
        <w:jc w:val="both"/>
        <w:rPr>
          <w:rFonts w:ascii="Arial" w:hAnsi="Arial" w:cs="Arial"/>
          <w:highlight w:val="yellow"/>
        </w:rPr>
      </w:pPr>
      <w:r w:rsidRPr="00AF65C7">
        <w:rPr>
          <w:rFonts w:ascii="Arial" w:hAnsi="Arial" w:cs="Arial"/>
          <w:b/>
        </w:rPr>
        <w:lastRenderedPageBreak/>
        <w:t>6</w:t>
      </w:r>
      <w:r w:rsidRPr="00AF65C7">
        <w:rPr>
          <w:rFonts w:ascii="Arial" w:hAnsi="Arial" w:cs="Arial"/>
          <w:b/>
          <w:bCs/>
        </w:rPr>
        <w:t>)</w:t>
      </w:r>
      <w:r w:rsidRPr="00AF65C7">
        <w:rPr>
          <w:rFonts w:ascii="Arial" w:hAnsi="Arial" w:cs="Arial"/>
        </w:rPr>
        <w:t xml:space="preserve"> que  Gerencia de Contabilidad Presupuestal</w:t>
      </w:r>
      <w:r>
        <w:rPr>
          <w:rFonts w:ascii="Arial" w:hAnsi="Arial" w:cs="Arial"/>
        </w:rPr>
        <w:t>, con  fecha 19.03.14, informa que a la fecha</w:t>
      </w:r>
      <w:r w:rsidRPr="00AF65C7">
        <w:rPr>
          <w:rFonts w:ascii="Arial" w:hAnsi="Arial" w:cs="Arial"/>
        </w:rPr>
        <w:t xml:space="preserve"> el </w:t>
      </w:r>
      <w:r>
        <w:rPr>
          <w:rFonts w:ascii="Arial" w:hAnsi="Arial" w:cs="Arial"/>
        </w:rPr>
        <w:t>P</w:t>
      </w:r>
      <w:r w:rsidRPr="00AF65C7">
        <w:rPr>
          <w:rFonts w:ascii="Arial" w:hAnsi="Arial" w:cs="Arial"/>
        </w:rPr>
        <w:t xml:space="preserve">royecto 2111 “Red de Acceso” en el </w:t>
      </w:r>
      <w:r>
        <w:rPr>
          <w:rFonts w:ascii="Arial" w:hAnsi="Arial" w:cs="Arial"/>
        </w:rPr>
        <w:t>G</w:t>
      </w:r>
      <w:r w:rsidRPr="00AF65C7">
        <w:rPr>
          <w:rFonts w:ascii="Arial" w:hAnsi="Arial" w:cs="Arial"/>
        </w:rPr>
        <w:t>rupo 300000 del Presupuesto de Inversi</w:t>
      </w:r>
      <w:r>
        <w:rPr>
          <w:rFonts w:ascii="Arial" w:hAnsi="Arial" w:cs="Arial"/>
        </w:rPr>
        <w:t>ones en moneda nacional, para los E</w:t>
      </w:r>
      <w:r w:rsidRPr="00AF65C7">
        <w:rPr>
          <w:rFonts w:ascii="Arial" w:hAnsi="Arial" w:cs="Arial"/>
        </w:rPr>
        <w:t>jercicio</w:t>
      </w:r>
      <w:r>
        <w:rPr>
          <w:rFonts w:ascii="Arial" w:hAnsi="Arial" w:cs="Arial"/>
        </w:rPr>
        <w:t>s</w:t>
      </w:r>
      <w:r w:rsidRPr="00AF65C7">
        <w:rPr>
          <w:rFonts w:ascii="Arial" w:hAnsi="Arial" w:cs="Arial"/>
        </w:rPr>
        <w:t xml:space="preserve"> 2014 y 2015, no presenta disponibilidad para la inversión que se trata;</w:t>
      </w:r>
    </w:p>
    <w:p w:rsidR="00DC7EB1" w:rsidRDefault="00DC7EB1" w:rsidP="00DC7EB1">
      <w:pPr>
        <w:spacing w:line="360" w:lineRule="auto"/>
        <w:ind w:firstLine="851"/>
        <w:jc w:val="both"/>
        <w:rPr>
          <w:rFonts w:ascii="Arial" w:hAnsi="Arial" w:cs="Arial"/>
        </w:rPr>
      </w:pPr>
      <w:r>
        <w:rPr>
          <w:rFonts w:ascii="Arial" w:hAnsi="Arial" w:cs="Arial"/>
          <w:b/>
          <w:bCs/>
        </w:rPr>
        <w:t>CONSIDERANDO:</w:t>
      </w:r>
      <w:r>
        <w:rPr>
          <w:rFonts w:ascii="Arial" w:hAnsi="Arial" w:cs="Arial"/>
        </w:rPr>
        <w:t xml:space="preserve"> </w:t>
      </w:r>
      <w:r>
        <w:rPr>
          <w:rFonts w:ascii="Arial" w:hAnsi="Arial" w:cs="Arial"/>
          <w:b/>
          <w:bCs/>
        </w:rPr>
        <w:t>1)</w:t>
      </w:r>
      <w:r>
        <w:rPr>
          <w:rFonts w:ascii="Arial" w:hAnsi="Arial" w:cs="Arial"/>
        </w:rPr>
        <w:t xml:space="preserve"> que la ampliación encuadra dentro de lo previsto por el Artículo 74 del TOCAF en la medida que el aumento no supera el 100% de las prestaciones objeto del contrato, respeta las condiciones y modalidades del mismo, cuenta con la conformidad previa del adjudicatario y ha sido aprobado previamente por la autoridad competente;</w:t>
      </w:r>
    </w:p>
    <w:p w:rsidR="00DC7EB1" w:rsidRDefault="00DC7EB1" w:rsidP="00DC7EB1">
      <w:pPr>
        <w:spacing w:line="360" w:lineRule="auto"/>
        <w:ind w:firstLine="2977"/>
        <w:jc w:val="both"/>
      </w:pPr>
      <w:r>
        <w:rPr>
          <w:rFonts w:ascii="Arial" w:hAnsi="Arial" w:cs="Arial"/>
          <w:b/>
          <w:bCs/>
        </w:rPr>
        <w:t>2)</w:t>
      </w:r>
      <w:r>
        <w:rPr>
          <w:rFonts w:ascii="Arial" w:hAnsi="Arial" w:cs="Arial"/>
        </w:rPr>
        <w:t xml:space="preserve"> que</w:t>
      </w:r>
      <w:r>
        <w:rPr>
          <w:rFonts w:ascii="Arial" w:hAnsi="Arial" w:cs="Arial"/>
        </w:rPr>
        <w:t xml:space="preserve"> no obstante se comprometió un </w:t>
      </w:r>
      <w:r>
        <w:rPr>
          <w:rFonts w:ascii="Arial" w:hAnsi="Arial" w:cs="Arial"/>
        </w:rPr>
        <w:t>gasto sin que exista crédito disponible en el rubro de imputación contable, en contravención  de lo dispuesto por el Artículo 15 del TOCAF;</w:t>
      </w:r>
    </w:p>
    <w:p w:rsidR="00DC7EB1" w:rsidRDefault="00DC7EB1" w:rsidP="00DC7EB1">
      <w:pPr>
        <w:pStyle w:val="Textoindependiente"/>
        <w:ind w:firstLine="851"/>
      </w:pPr>
      <w:r>
        <w:rPr>
          <w:b/>
          <w:bCs/>
        </w:rPr>
        <w:t>ATENTO:</w:t>
      </w:r>
      <w:r>
        <w:t xml:space="preserve"> a lo expuesto precedentemente y a lo dispuesto por el Artículo 211 Literal B) de la Constitución de la Republica; </w:t>
      </w:r>
    </w:p>
    <w:p w:rsidR="00DC7EB1" w:rsidRDefault="00DC7EB1" w:rsidP="00DC7EB1">
      <w:pPr>
        <w:pStyle w:val="Ttulo1"/>
      </w:pPr>
      <w:r>
        <w:t>EL TRIBUNAL ACUERDA</w:t>
      </w:r>
    </w:p>
    <w:p w:rsidR="00DC7EB1" w:rsidRDefault="00DC7EB1" w:rsidP="00DC7EB1">
      <w:pPr>
        <w:numPr>
          <w:ilvl w:val="0"/>
          <w:numId w:val="1"/>
        </w:numPr>
        <w:spacing w:line="360" w:lineRule="auto"/>
        <w:jc w:val="both"/>
        <w:rPr>
          <w:rFonts w:ascii="Arial" w:hAnsi="Arial" w:cs="Arial"/>
        </w:rPr>
      </w:pPr>
      <w:r>
        <w:rPr>
          <w:rFonts w:ascii="Arial" w:hAnsi="Arial" w:cs="Arial"/>
        </w:rPr>
        <w:t>Observar el gasto correspondiente al Ejercicio 2014 en razón de lo expresado en el Considerando 2);</w:t>
      </w:r>
    </w:p>
    <w:p w:rsidR="00DC7EB1" w:rsidRDefault="00DC7EB1" w:rsidP="00DC7EB1">
      <w:pPr>
        <w:numPr>
          <w:ilvl w:val="0"/>
          <w:numId w:val="1"/>
        </w:numPr>
        <w:spacing w:line="360" w:lineRule="auto"/>
        <w:jc w:val="both"/>
        <w:rPr>
          <w:rFonts w:ascii="Arial" w:hAnsi="Arial" w:cs="Arial"/>
        </w:rPr>
      </w:pPr>
      <w:r>
        <w:rPr>
          <w:rFonts w:ascii="Arial" w:hAnsi="Arial" w:cs="Arial"/>
        </w:rPr>
        <w:t>Cometer a la Contadora Delegada la intervención del gasto</w:t>
      </w:r>
      <w:r>
        <w:t xml:space="preserve"> </w:t>
      </w:r>
      <w:r>
        <w:rPr>
          <w:rFonts w:ascii="Arial" w:hAnsi="Arial" w:cs="Arial"/>
        </w:rPr>
        <w:t xml:space="preserve">correspondiente al Ejercicio 2015, una vez imputado el mismo al </w:t>
      </w:r>
      <w:r>
        <w:rPr>
          <w:rFonts w:ascii="Arial" w:hAnsi="Arial" w:cs="Arial"/>
        </w:rPr>
        <w:t>G</w:t>
      </w:r>
      <w:r>
        <w:rPr>
          <w:rFonts w:ascii="Arial" w:hAnsi="Arial" w:cs="Arial"/>
        </w:rPr>
        <w:t xml:space="preserve">rupo adecuado con disponibilidad suficiente; </w:t>
      </w:r>
    </w:p>
    <w:p w:rsidR="00DC7EB1" w:rsidRDefault="00DC7EB1" w:rsidP="00DC7EB1">
      <w:pPr>
        <w:numPr>
          <w:ilvl w:val="0"/>
          <w:numId w:val="1"/>
        </w:numPr>
        <w:spacing w:line="360" w:lineRule="auto"/>
        <w:jc w:val="both"/>
        <w:rPr>
          <w:rFonts w:ascii="Arial" w:hAnsi="Arial" w:cs="Arial"/>
        </w:rPr>
      </w:pPr>
      <w:r>
        <w:rPr>
          <w:rFonts w:ascii="Arial" w:hAnsi="Arial" w:cs="Arial"/>
        </w:rPr>
        <w:t>Comunicar a la Contadora Delegada; y</w:t>
      </w:r>
    </w:p>
    <w:p w:rsidR="00D713DF" w:rsidRDefault="00DC7EB1" w:rsidP="00DC7EB1">
      <w:pPr>
        <w:pStyle w:val="Prrafodelista"/>
        <w:numPr>
          <w:ilvl w:val="0"/>
          <w:numId w:val="1"/>
        </w:numPr>
      </w:pPr>
      <w:r w:rsidRPr="00DC7EB1">
        <w:rPr>
          <w:rFonts w:ascii="Arial" w:hAnsi="Arial" w:cs="Arial"/>
        </w:rPr>
        <w:t>Devolver las actuaciones</w:t>
      </w:r>
      <w:r>
        <w:rPr>
          <w:rFonts w:ascii="Arial" w:hAnsi="Arial" w:cs="Arial"/>
        </w:rPr>
        <w:t>.</w:t>
      </w:r>
    </w:p>
    <w:sectPr w:rsidR="00D713DF" w:rsidSect="00DC7EB1">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41DF0"/>
    <w:multiLevelType w:val="hybridMultilevel"/>
    <w:tmpl w:val="60B208CA"/>
    <w:lvl w:ilvl="0" w:tplc="A7E231FC">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B1"/>
    <w:rsid w:val="00605070"/>
    <w:rsid w:val="009E57A1"/>
    <w:rsid w:val="00BC1D96"/>
    <w:rsid w:val="00D1685B"/>
    <w:rsid w:val="00DC7E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B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C7EB1"/>
    <w:pPr>
      <w:keepNext/>
      <w:spacing w:line="360" w:lineRule="auto"/>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7EB1"/>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DC7EB1"/>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semiHidden/>
    <w:rsid w:val="00DC7EB1"/>
    <w:rPr>
      <w:rFonts w:ascii="Arial" w:eastAsia="Times New Roman" w:hAnsi="Arial" w:cs="Arial"/>
      <w:sz w:val="24"/>
      <w:szCs w:val="24"/>
      <w:lang w:eastAsia="es-ES"/>
    </w:rPr>
  </w:style>
  <w:style w:type="paragraph" w:styleId="Prrafodelista">
    <w:name w:val="List Paragraph"/>
    <w:basedOn w:val="Normal"/>
    <w:uiPriority w:val="34"/>
    <w:qFormat/>
    <w:rsid w:val="00DC7E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B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C7EB1"/>
    <w:pPr>
      <w:keepNext/>
      <w:spacing w:line="360" w:lineRule="auto"/>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7EB1"/>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DC7EB1"/>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semiHidden/>
    <w:rsid w:val="00DC7EB1"/>
    <w:rPr>
      <w:rFonts w:ascii="Arial" w:eastAsia="Times New Roman" w:hAnsi="Arial" w:cs="Arial"/>
      <w:sz w:val="24"/>
      <w:szCs w:val="24"/>
      <w:lang w:eastAsia="es-ES"/>
    </w:rPr>
  </w:style>
  <w:style w:type="paragraph" w:styleId="Prrafodelista">
    <w:name w:val="List Paragraph"/>
    <w:basedOn w:val="Normal"/>
    <w:uiPriority w:val="34"/>
    <w:qFormat/>
    <w:rsid w:val="00DC7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2335</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4</cp:revision>
  <dcterms:created xsi:type="dcterms:W3CDTF">2014-05-26T19:41:00Z</dcterms:created>
  <dcterms:modified xsi:type="dcterms:W3CDTF">2014-05-26T19:47:00Z</dcterms:modified>
</cp:coreProperties>
</file>