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6A" w:rsidRDefault="00F7783B">
      <w:pPr>
        <w:pStyle w:val="Ttulo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LA</w:t>
      </w:r>
      <w:r w:rsidR="0026736A">
        <w:rPr>
          <w:rFonts w:ascii="Arial" w:hAnsi="Arial"/>
        </w:rPr>
        <w:t xml:space="preserve"> PRESIDENTE DEL TRIBUNAL DE CUENTAS</w:t>
      </w:r>
    </w:p>
    <w:p w:rsidR="0026736A" w:rsidRDefault="0026736A">
      <w:pPr>
        <w:spacing w:line="360" w:lineRule="auto"/>
        <w:jc w:val="center"/>
        <w:rPr>
          <w:b/>
          <w:lang w:val="es-MX"/>
        </w:rPr>
      </w:pPr>
      <w:r>
        <w:rPr>
          <w:b/>
          <w:lang w:val="es-MX"/>
        </w:rPr>
        <w:t xml:space="preserve">DE ACUERDO CON EL </w:t>
      </w:r>
      <w:proofErr w:type="gramStart"/>
      <w:r>
        <w:rPr>
          <w:b/>
          <w:lang w:val="es-MX"/>
        </w:rPr>
        <w:t>ARTICULO</w:t>
      </w:r>
      <w:proofErr w:type="gramEnd"/>
      <w:r>
        <w:rPr>
          <w:b/>
          <w:lang w:val="es-MX"/>
        </w:rPr>
        <w:t xml:space="preserve"> 10</w:t>
      </w:r>
    </w:p>
    <w:p w:rsidR="0026736A" w:rsidRDefault="0026736A">
      <w:pPr>
        <w:spacing w:line="360" w:lineRule="auto"/>
        <w:jc w:val="center"/>
        <w:rPr>
          <w:b/>
          <w:lang w:val="es-MX"/>
        </w:rPr>
      </w:pPr>
      <w:r>
        <w:rPr>
          <w:b/>
          <w:lang w:val="es-MX"/>
        </w:rPr>
        <w:t>DEL REGLAMENTO INTERNO</w:t>
      </w:r>
    </w:p>
    <w:p w:rsidR="0026736A" w:rsidRDefault="0026736A">
      <w:pPr>
        <w:spacing w:line="360" w:lineRule="auto"/>
        <w:jc w:val="center"/>
        <w:rPr>
          <w:b/>
          <w:lang w:val="es-MX"/>
        </w:rPr>
      </w:pPr>
      <w:r>
        <w:rPr>
          <w:b/>
          <w:lang w:val="es-MX"/>
        </w:rPr>
        <w:t>CON  FECHA 20 DE MAYO DE  2014</w:t>
      </w:r>
    </w:p>
    <w:p w:rsidR="0026736A" w:rsidRDefault="0026736A">
      <w:pPr>
        <w:spacing w:line="360" w:lineRule="auto"/>
        <w:jc w:val="center"/>
        <w:rPr>
          <w:b/>
          <w:lang w:val="es-MX"/>
        </w:rPr>
      </w:pPr>
      <w:r>
        <w:rPr>
          <w:b/>
          <w:lang w:val="es-MX"/>
        </w:rPr>
        <w:t>ADOPTO LA SIGUIENTE RESOLUCION</w:t>
      </w:r>
    </w:p>
    <w:p w:rsidR="0026736A" w:rsidRDefault="0026736A">
      <w:pPr>
        <w:spacing w:line="360" w:lineRule="auto"/>
        <w:jc w:val="center"/>
        <w:rPr>
          <w:b/>
          <w:lang w:val="es-MX"/>
        </w:rPr>
      </w:pPr>
      <w:r>
        <w:rPr>
          <w:b/>
          <w:lang w:val="es-MX"/>
        </w:rPr>
        <w:t>(E.E. 2012-17-1-0002671, N° 2862/14)</w:t>
      </w:r>
    </w:p>
    <w:p w:rsidR="00E6740F" w:rsidRDefault="00E6740F" w:rsidP="00E6740F"/>
    <w:p w:rsidR="00E6740F" w:rsidRDefault="00E6740F" w:rsidP="00260064">
      <w:pPr>
        <w:spacing w:line="360" w:lineRule="auto"/>
        <w:ind w:firstLine="851"/>
        <w:jc w:val="both"/>
      </w:pPr>
      <w:r w:rsidRPr="00E6740F">
        <w:rPr>
          <w:b/>
        </w:rPr>
        <w:t>VISTO:</w:t>
      </w:r>
      <w:r>
        <w:t xml:space="preserve"> las actuaciones remitidas por el Ministerio de Economía y Finanzas – Contaduría General de la Nación, relacionadas con la adquisición de licencias de base de datos para sostener la nueva infraestructura adquirida por la C</w:t>
      </w:r>
      <w:r w:rsidR="0016719A">
        <w:t>ontaduría General de la Nación;</w:t>
      </w:r>
    </w:p>
    <w:p w:rsidR="008C26EB" w:rsidRDefault="00E6740F" w:rsidP="00260064">
      <w:pPr>
        <w:spacing w:line="360" w:lineRule="auto"/>
        <w:ind w:firstLine="851"/>
        <w:jc w:val="both"/>
      </w:pPr>
      <w:r w:rsidRPr="00E6740F">
        <w:rPr>
          <w:b/>
        </w:rPr>
        <w:t>RESULTANDO: 1)</w:t>
      </w:r>
      <w:r>
        <w:t xml:space="preserve"> que luce propuesta presentada por TILSOR S.A. la que incluye los siguientes ítems: </w:t>
      </w:r>
      <w:proofErr w:type="spellStart"/>
      <w:r>
        <w:t>Item</w:t>
      </w:r>
      <w:proofErr w:type="spellEnd"/>
      <w:r>
        <w:t xml:space="preserve"> 1: Licencias de Productos Oracl</w:t>
      </w:r>
      <w:r w:rsidR="008C26EB">
        <w:t xml:space="preserve">e en </w:t>
      </w:r>
      <w:r w:rsidR="008C26EB" w:rsidRPr="0026736A">
        <w:rPr>
          <w:spacing w:val="8"/>
        </w:rPr>
        <w:t xml:space="preserve">modalidad </w:t>
      </w:r>
      <w:r w:rsidRPr="0026736A">
        <w:rPr>
          <w:spacing w:val="8"/>
        </w:rPr>
        <w:t>ULA</w:t>
      </w:r>
      <w:r w:rsidR="008C26EB" w:rsidRPr="0026736A">
        <w:rPr>
          <w:spacing w:val="8"/>
        </w:rPr>
        <w:t xml:space="preserve"> – (U$S 1:410.000</w:t>
      </w:r>
      <w:r w:rsidRPr="0026736A">
        <w:rPr>
          <w:spacing w:val="8"/>
        </w:rPr>
        <w:t xml:space="preserve">), </w:t>
      </w:r>
      <w:proofErr w:type="spellStart"/>
      <w:r w:rsidRPr="0026736A">
        <w:rPr>
          <w:spacing w:val="8"/>
        </w:rPr>
        <w:t>Item</w:t>
      </w:r>
      <w:proofErr w:type="spellEnd"/>
      <w:r w:rsidRPr="0026736A">
        <w:rPr>
          <w:spacing w:val="8"/>
        </w:rPr>
        <w:t xml:space="preserve"> 2. Mantenimiento primer año</w:t>
      </w:r>
      <w:r w:rsidR="008C26EB" w:rsidRPr="0026736A">
        <w:rPr>
          <w:spacing w:val="8"/>
        </w:rPr>
        <w:t xml:space="preserve"> (U$S</w:t>
      </w:r>
      <w:r w:rsidR="008C26EB" w:rsidRPr="0026736A">
        <w:rPr>
          <w:spacing w:val="-10"/>
        </w:rPr>
        <w:t xml:space="preserve"> 310.200)</w:t>
      </w:r>
      <w:r w:rsidRPr="0026736A">
        <w:rPr>
          <w:spacing w:val="-10"/>
        </w:rPr>
        <w:t xml:space="preserve">, </w:t>
      </w:r>
      <w:proofErr w:type="spellStart"/>
      <w:r w:rsidRPr="0026736A">
        <w:rPr>
          <w:spacing w:val="-10"/>
        </w:rPr>
        <w:t>Item</w:t>
      </w:r>
      <w:proofErr w:type="spellEnd"/>
      <w:r w:rsidRPr="0026736A">
        <w:rPr>
          <w:spacing w:val="-10"/>
        </w:rPr>
        <w:t xml:space="preserve"> 3: Renovación mantenimiento segundo año</w:t>
      </w:r>
      <w:r w:rsidR="008C26EB" w:rsidRPr="0026736A">
        <w:rPr>
          <w:spacing w:val="-10"/>
        </w:rPr>
        <w:t xml:space="preserve"> (U$S</w:t>
      </w:r>
      <w:r w:rsidR="008C26EB">
        <w:t xml:space="preserve"> 310.200)</w:t>
      </w:r>
      <w:r>
        <w:t xml:space="preserve">; </w:t>
      </w:r>
      <w:proofErr w:type="spellStart"/>
      <w:r>
        <w:t>Item</w:t>
      </w:r>
      <w:proofErr w:type="spellEnd"/>
      <w:r>
        <w:t xml:space="preserve"> 4. Reno</w:t>
      </w:r>
      <w:r w:rsidR="008C26EB">
        <w:t>vación mantenim</w:t>
      </w:r>
      <w:r w:rsidR="0016719A">
        <w:t>iento tercer año (U$S 310.200);</w:t>
      </w:r>
    </w:p>
    <w:p w:rsidR="00E6740F" w:rsidRDefault="009953A2" w:rsidP="00260064">
      <w:pPr>
        <w:spacing w:line="360" w:lineRule="auto"/>
        <w:ind w:firstLine="2694"/>
        <w:jc w:val="both"/>
      </w:pPr>
      <w:r w:rsidRPr="008C26EB">
        <w:rPr>
          <w:b/>
        </w:rPr>
        <w:t xml:space="preserve">2) </w:t>
      </w:r>
      <w:r w:rsidR="008C26EB">
        <w:t>que se adjunta n</w:t>
      </w:r>
      <w:r w:rsidR="00E6740F">
        <w:t>ota de fecha 20 de enero de 2014, de la firma ORACLE ARGENTINA S.A.,</w:t>
      </w:r>
      <w:r w:rsidR="0026736A">
        <w:t xml:space="preserve"> </w:t>
      </w:r>
      <w:r w:rsidR="00E6740F">
        <w:t>de la cual surge que TILSOR S.A. es el único que está autorizado a la fecha por parte de Oracle Local para que dentro de Uruguay renueve contratos de Soporte Técnico respecto de programas de tec</w:t>
      </w:r>
      <w:r w:rsidR="008C26EB">
        <w:t>n</w:t>
      </w:r>
      <w:r w:rsidR="0016719A">
        <w:t>ología y/o aplicaciones ORACLE;</w:t>
      </w:r>
    </w:p>
    <w:p w:rsidR="00E6740F" w:rsidRDefault="008C26EB" w:rsidP="0026736A">
      <w:pPr>
        <w:spacing w:line="360" w:lineRule="auto"/>
        <w:ind w:firstLine="2694"/>
        <w:jc w:val="both"/>
      </w:pPr>
      <w:r>
        <w:rPr>
          <w:b/>
        </w:rPr>
        <w:t>3</w:t>
      </w:r>
      <w:r w:rsidRPr="008C26EB">
        <w:rPr>
          <w:b/>
        </w:rPr>
        <w:t xml:space="preserve">) </w:t>
      </w:r>
      <w:r w:rsidRPr="008C26EB">
        <w:t>que</w:t>
      </w:r>
      <w:r>
        <w:t xml:space="preserve"> </w:t>
      </w:r>
      <w:r w:rsidR="00E44B81">
        <w:t>según n</w:t>
      </w:r>
      <w:r w:rsidR="00E6740F">
        <w:t>ota de la Contaduría General de la Nación, de fecha 16 de enero de 2014, surge que la modalidad de Licenciamiento Oracle ULA por 3 años con soporte por primer año y renovación del 2do y 3er año incluido</w:t>
      </w:r>
      <w:r w:rsidR="0016719A">
        <w:t>;</w:t>
      </w:r>
    </w:p>
    <w:p w:rsidR="00E6740F" w:rsidRDefault="000A55F2" w:rsidP="0026736A">
      <w:pPr>
        <w:spacing w:line="360" w:lineRule="auto"/>
        <w:ind w:firstLine="2694"/>
        <w:jc w:val="both"/>
      </w:pPr>
      <w:r w:rsidRPr="000A55F2">
        <w:rPr>
          <w:b/>
        </w:rPr>
        <w:t>4</w:t>
      </w:r>
      <w:r w:rsidRPr="008C26EB">
        <w:rPr>
          <w:b/>
        </w:rPr>
        <w:t xml:space="preserve">) </w:t>
      </w:r>
      <w:r w:rsidRPr="008C26EB">
        <w:t>que</w:t>
      </w:r>
      <w:r>
        <w:t xml:space="preserve"> luce P</w:t>
      </w:r>
      <w:r w:rsidR="00E6740F">
        <w:t>royecto de Resolución del Ministerio de Economía y Finanzas (en ejercicio de atribuciones delegadas) mediante el cual se autoriza al amparo de lo d</w:t>
      </w:r>
      <w:r w:rsidR="0026736A">
        <w:t>ispuesto por el Numeral 3) del L</w:t>
      </w:r>
      <w:r w:rsidR="00E6740F">
        <w:t xml:space="preserve">iteral C) del </w:t>
      </w:r>
      <w:r w:rsidR="0026736A">
        <w:t>I</w:t>
      </w:r>
      <w:r w:rsidR="00E6740F">
        <w:t>nciso 2</w:t>
      </w:r>
      <w:r w:rsidR="0026736A">
        <w:t>)</w:t>
      </w:r>
      <w:r w:rsidR="00E6740F">
        <w:t xml:space="preserve"> del Artículo 33 del T.O.C.A.F., la adquisición de licencias de Productos </w:t>
      </w:r>
      <w:r w:rsidR="00E6740F">
        <w:lastRenderedPageBreak/>
        <w:t xml:space="preserve">Oracle en modalidad ULA y el soporte y actualización de </w:t>
      </w:r>
      <w:r w:rsidR="00BD36FD">
        <w:t>l</w:t>
      </w:r>
      <w:r w:rsidR="00E6740F">
        <w:t xml:space="preserve">as mismas por el </w:t>
      </w:r>
      <w:r w:rsidR="00E6740F" w:rsidRPr="0026736A">
        <w:rPr>
          <w:spacing w:val="-8"/>
        </w:rPr>
        <w:t xml:space="preserve">período de tres años a la empresa TILSOR S.A. por un costo total </w:t>
      </w:r>
      <w:r w:rsidRPr="0026736A">
        <w:rPr>
          <w:spacing w:val="-8"/>
        </w:rPr>
        <w:t>de U$S</w:t>
      </w:r>
      <w:r w:rsidR="0016719A">
        <w:t xml:space="preserve"> 2:855.532 (IVA incluido);</w:t>
      </w:r>
    </w:p>
    <w:p w:rsidR="000A55F2" w:rsidRDefault="000A55F2" w:rsidP="00260064">
      <w:pPr>
        <w:spacing w:line="360" w:lineRule="auto"/>
        <w:ind w:firstLine="851"/>
        <w:jc w:val="both"/>
      </w:pPr>
      <w:r w:rsidRPr="000A55F2">
        <w:rPr>
          <w:b/>
        </w:rPr>
        <w:t>CONSIDERANDO:</w:t>
      </w:r>
      <w:r>
        <w:t xml:space="preserve"> que la contratación encuadra en la situación prevista en el Literal C) del Numeral 3</w:t>
      </w:r>
      <w:r w:rsidR="00A00CD7">
        <w:t>)</w:t>
      </w:r>
      <w:r>
        <w:t xml:space="preserve"> del Artículo 33 del T.O.C.A.F.</w:t>
      </w:r>
      <w:r w:rsidRPr="000A55F2">
        <w:t xml:space="preserve"> </w:t>
      </w:r>
      <w:r>
        <w:t>en virtud de que surge acreditado que dicha firma es la única autorizada</w:t>
      </w:r>
      <w:r w:rsidR="009853D1">
        <w:t xml:space="preserve"> para la comercialización </w:t>
      </w:r>
      <w:r w:rsidR="0016719A">
        <w:t>de las licencias de referencia;</w:t>
      </w:r>
    </w:p>
    <w:p w:rsidR="00E6740F" w:rsidRPr="00865E88" w:rsidRDefault="00865E88" w:rsidP="00865E88">
      <w:pPr>
        <w:spacing w:line="360" w:lineRule="auto"/>
        <w:jc w:val="center"/>
        <w:rPr>
          <w:b/>
        </w:rPr>
      </w:pPr>
      <w:r>
        <w:rPr>
          <w:b/>
        </w:rPr>
        <w:t>EL TRIBUNAL ACUERDA</w:t>
      </w:r>
    </w:p>
    <w:p w:rsidR="00A00CD7" w:rsidRDefault="00A00CD7" w:rsidP="00A00CD7">
      <w:pPr>
        <w:pStyle w:val="Prrafodelista"/>
        <w:spacing w:line="360" w:lineRule="auto"/>
        <w:ind w:left="426" w:hanging="426"/>
        <w:jc w:val="both"/>
      </w:pPr>
      <w:r w:rsidRPr="00A00CD7">
        <w:rPr>
          <w:b/>
        </w:rPr>
        <w:t>1)</w:t>
      </w:r>
      <w:r>
        <w:t xml:space="preserve"> </w:t>
      </w:r>
      <w:r w:rsidR="00E957A1">
        <w:t xml:space="preserve">Dictada la Resolución por el Ordenador Competente </w:t>
      </w:r>
      <w:proofErr w:type="spellStart"/>
      <w:r w:rsidR="00E957A1">
        <w:t>cométese</w:t>
      </w:r>
      <w:proofErr w:type="spellEnd"/>
      <w:r w:rsidR="00E957A1">
        <w:t xml:space="preserve"> a</w:t>
      </w:r>
      <w:r>
        <w:t xml:space="preserve"> </w:t>
      </w:r>
      <w:r w:rsidR="00E957A1">
        <w:t>l</w:t>
      </w:r>
      <w:r>
        <w:t>a</w:t>
      </w:r>
      <w:r w:rsidR="00E957A1">
        <w:t xml:space="preserve"> Contador</w:t>
      </w:r>
      <w:r>
        <w:t>a</w:t>
      </w:r>
      <w:r w:rsidR="00E957A1">
        <w:t xml:space="preserve"> </w:t>
      </w:r>
      <w:r w:rsidR="00E6740F">
        <w:t>Auditor</w:t>
      </w:r>
      <w:r>
        <w:t>a destacada</w:t>
      </w:r>
      <w:r w:rsidR="00E6740F">
        <w:t xml:space="preserve"> ante el Ministerio de Economía y Fi</w:t>
      </w:r>
      <w:r>
        <w:t>n</w:t>
      </w:r>
      <w:r w:rsidR="00E6740F">
        <w:t>anzas la intervención del monto de U$S 2:855.532 (IVA incluido) para</w:t>
      </w:r>
      <w:r w:rsidR="00E6740F" w:rsidRPr="00BD3457">
        <w:t xml:space="preserve"> </w:t>
      </w:r>
      <w:r w:rsidR="00E6740F">
        <w:t>la adquisición de licencias de Productos Oracle en modalidad ULA y el soporte y actualización de</w:t>
      </w:r>
      <w:r w:rsidR="00E957A1">
        <w:t xml:space="preserve"> l</w:t>
      </w:r>
      <w:r w:rsidR="00E6740F">
        <w:t>as mismas por el período de tres años a la empresa TILSOR S.A.</w:t>
      </w:r>
      <w:r w:rsidR="00E957A1">
        <w:t>, previo control de su imputación en el grupo adecuado con disponibilidad suficiente, así como el control de lo dispuesto por el Artículo 3 de la Ley Nº 18</w:t>
      </w:r>
      <w:r w:rsidR="0016719A">
        <w:t>.244 de 27 de diciembre de 2007;</w:t>
      </w:r>
    </w:p>
    <w:p w:rsidR="00A00CD7" w:rsidRDefault="00A00CD7" w:rsidP="00A00CD7">
      <w:pPr>
        <w:pStyle w:val="Prrafodelista"/>
        <w:spacing w:line="360" w:lineRule="auto"/>
        <w:ind w:left="426" w:hanging="426"/>
        <w:jc w:val="both"/>
        <w:rPr>
          <w:iCs/>
        </w:rPr>
      </w:pPr>
      <w:r w:rsidRPr="00A00CD7">
        <w:rPr>
          <w:b/>
        </w:rPr>
        <w:t>2)</w:t>
      </w:r>
      <w:r>
        <w:rPr>
          <w:iCs/>
        </w:rPr>
        <w:t xml:space="preserve">  </w:t>
      </w:r>
      <w:proofErr w:type="spellStart"/>
      <w:r w:rsidR="00FB6322">
        <w:rPr>
          <w:iCs/>
        </w:rPr>
        <w:t>Cométese</w:t>
      </w:r>
      <w:proofErr w:type="spellEnd"/>
      <w:r w:rsidR="00FB6322">
        <w:rPr>
          <w:iCs/>
        </w:rPr>
        <w:t xml:space="preserve"> asimismo a</w:t>
      </w:r>
      <w:r w:rsidR="00BD36FD">
        <w:rPr>
          <w:iCs/>
        </w:rPr>
        <w:t xml:space="preserve"> </w:t>
      </w:r>
      <w:r w:rsidR="00FB6322">
        <w:rPr>
          <w:iCs/>
        </w:rPr>
        <w:t>l</w:t>
      </w:r>
      <w:r w:rsidR="00BD36FD">
        <w:rPr>
          <w:iCs/>
        </w:rPr>
        <w:t>a</w:t>
      </w:r>
      <w:r w:rsidR="00FB6322">
        <w:rPr>
          <w:iCs/>
        </w:rPr>
        <w:t xml:space="preserve"> Contador</w:t>
      </w:r>
      <w:r w:rsidR="00BD36FD">
        <w:rPr>
          <w:iCs/>
        </w:rPr>
        <w:t>a</w:t>
      </w:r>
      <w:r w:rsidR="00FB6322">
        <w:rPr>
          <w:iCs/>
        </w:rPr>
        <w:t xml:space="preserve"> Auditor</w:t>
      </w:r>
      <w:r w:rsidR="00BD36FD">
        <w:rPr>
          <w:iCs/>
        </w:rPr>
        <w:t>a</w:t>
      </w:r>
      <w:r w:rsidR="00FB6322">
        <w:rPr>
          <w:iCs/>
        </w:rPr>
        <w:t xml:space="preserve"> la verificación de que la Resolución definitiva concuerde con las condiciones de contratación sometidas a este Tribunal (Artículo 8 de la Ordenanza </w:t>
      </w:r>
      <w:r w:rsidR="00BD36FD">
        <w:rPr>
          <w:iCs/>
        </w:rPr>
        <w:t xml:space="preserve">del </w:t>
      </w:r>
      <w:r w:rsidR="00FB6322">
        <w:rPr>
          <w:iCs/>
        </w:rPr>
        <w:t xml:space="preserve">27 de mayo de 1958, en la redacción sustitutiva dispuesta por la Resolución del Tribunal de </w:t>
      </w:r>
      <w:r w:rsidR="00695F17">
        <w:rPr>
          <w:iCs/>
        </w:rPr>
        <w:t xml:space="preserve">Cuentas de </w:t>
      </w:r>
      <w:r w:rsidR="0016719A">
        <w:rPr>
          <w:iCs/>
        </w:rPr>
        <w:t>16 de junio de 2010);</w:t>
      </w:r>
    </w:p>
    <w:p w:rsidR="00A00CD7" w:rsidRDefault="00A00CD7" w:rsidP="00A00CD7">
      <w:pPr>
        <w:pStyle w:val="Prrafodelista"/>
        <w:spacing w:line="360" w:lineRule="auto"/>
        <w:ind w:left="426" w:hanging="426"/>
        <w:jc w:val="both"/>
        <w:rPr>
          <w:iCs/>
        </w:rPr>
      </w:pPr>
      <w:r>
        <w:rPr>
          <w:b/>
        </w:rPr>
        <w:t xml:space="preserve">3)  </w:t>
      </w:r>
      <w:r w:rsidR="00FB6322">
        <w:rPr>
          <w:iCs/>
        </w:rPr>
        <w:t>Comuníquese a</w:t>
      </w:r>
      <w:r>
        <w:rPr>
          <w:iCs/>
        </w:rPr>
        <w:t xml:space="preserve"> </w:t>
      </w:r>
      <w:r w:rsidR="00FB6322">
        <w:rPr>
          <w:iCs/>
        </w:rPr>
        <w:t>l</w:t>
      </w:r>
      <w:r>
        <w:rPr>
          <w:iCs/>
        </w:rPr>
        <w:t>a</w:t>
      </w:r>
      <w:r w:rsidR="00FB6322">
        <w:rPr>
          <w:iCs/>
        </w:rPr>
        <w:t xml:space="preserve"> Contador</w:t>
      </w:r>
      <w:r>
        <w:rPr>
          <w:iCs/>
        </w:rPr>
        <w:t>a</w:t>
      </w:r>
      <w:r w:rsidR="00FB6322">
        <w:rPr>
          <w:iCs/>
        </w:rPr>
        <w:t xml:space="preserve"> Auditor</w:t>
      </w:r>
      <w:r>
        <w:rPr>
          <w:iCs/>
        </w:rPr>
        <w:t>a; y</w:t>
      </w:r>
    </w:p>
    <w:p w:rsidR="00E6740F" w:rsidRDefault="00A00CD7" w:rsidP="00A00CD7">
      <w:pPr>
        <w:pStyle w:val="Prrafodelista"/>
        <w:spacing w:line="360" w:lineRule="auto"/>
        <w:ind w:left="426" w:hanging="426"/>
        <w:jc w:val="both"/>
      </w:pPr>
      <w:r>
        <w:rPr>
          <w:b/>
        </w:rPr>
        <w:t xml:space="preserve">4)  </w:t>
      </w:r>
      <w:r w:rsidR="00FB6322">
        <w:t>Devuélvase.</w:t>
      </w:r>
    </w:p>
    <w:p w:rsidR="00A00CD7" w:rsidRDefault="00A00CD7" w:rsidP="00A00CD7">
      <w:pPr>
        <w:pStyle w:val="Prrafodelista"/>
        <w:spacing w:line="360" w:lineRule="auto"/>
        <w:ind w:left="426" w:hanging="426"/>
        <w:jc w:val="both"/>
      </w:pPr>
      <w:proofErr w:type="spellStart"/>
      <w:proofErr w:type="gramStart"/>
      <w:r>
        <w:t>cr</w:t>
      </w:r>
      <w:proofErr w:type="spellEnd"/>
      <w:proofErr w:type="gramEnd"/>
    </w:p>
    <w:sectPr w:rsidR="00A00CD7" w:rsidSect="0026736A"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40F" w:rsidRDefault="00E6740F" w:rsidP="00E6740F">
      <w:r>
        <w:separator/>
      </w:r>
    </w:p>
  </w:endnote>
  <w:endnote w:type="continuationSeparator" w:id="0">
    <w:p w:rsidR="00E6740F" w:rsidRDefault="00E6740F" w:rsidP="00E6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146666"/>
      <w:docPartObj>
        <w:docPartGallery w:val="Page Numbers (Bottom of Page)"/>
        <w:docPartUnique/>
      </w:docPartObj>
    </w:sdtPr>
    <w:sdtEndPr/>
    <w:sdtContent>
      <w:p w:rsidR="00E6740F" w:rsidRDefault="00E6740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19A">
          <w:rPr>
            <w:noProof/>
          </w:rPr>
          <w:t>1</w:t>
        </w:r>
        <w:r>
          <w:fldChar w:fldCharType="end"/>
        </w:r>
      </w:p>
    </w:sdtContent>
  </w:sdt>
  <w:p w:rsidR="00E6740F" w:rsidRDefault="00E674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40F" w:rsidRDefault="00E6740F" w:rsidP="00E6740F">
      <w:r>
        <w:separator/>
      </w:r>
    </w:p>
  </w:footnote>
  <w:footnote w:type="continuationSeparator" w:id="0">
    <w:p w:rsidR="00E6740F" w:rsidRDefault="00E6740F" w:rsidP="00E6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6F3"/>
    <w:multiLevelType w:val="hybridMultilevel"/>
    <w:tmpl w:val="16200DA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5A00"/>
    <w:multiLevelType w:val="hybridMultilevel"/>
    <w:tmpl w:val="16ECC4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5E4D3B"/>
    <w:multiLevelType w:val="hybridMultilevel"/>
    <w:tmpl w:val="B344A7C8"/>
    <w:lvl w:ilvl="0" w:tplc="AE16F53C">
      <w:start w:val="1"/>
      <w:numFmt w:val="upperRoman"/>
      <w:lvlText w:val="%1)"/>
      <w:lvlJc w:val="left"/>
      <w:pPr>
        <w:ind w:left="213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476D73CE"/>
    <w:multiLevelType w:val="hybridMultilevel"/>
    <w:tmpl w:val="1DCCA614"/>
    <w:lvl w:ilvl="0" w:tplc="3E9A27E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62721"/>
    <w:multiLevelType w:val="hybridMultilevel"/>
    <w:tmpl w:val="CDB04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FD"/>
    <w:rsid w:val="00001892"/>
    <w:rsid w:val="0009067C"/>
    <w:rsid w:val="0009301C"/>
    <w:rsid w:val="000A55F2"/>
    <w:rsid w:val="00141803"/>
    <w:rsid w:val="00142088"/>
    <w:rsid w:val="00147920"/>
    <w:rsid w:val="0016719A"/>
    <w:rsid w:val="001C081E"/>
    <w:rsid w:val="001E3821"/>
    <w:rsid w:val="00260064"/>
    <w:rsid w:val="0026736A"/>
    <w:rsid w:val="002C1AAF"/>
    <w:rsid w:val="003D5D3D"/>
    <w:rsid w:val="00414272"/>
    <w:rsid w:val="004B430E"/>
    <w:rsid w:val="0051498A"/>
    <w:rsid w:val="00514BAC"/>
    <w:rsid w:val="005207E8"/>
    <w:rsid w:val="00564503"/>
    <w:rsid w:val="00667C2A"/>
    <w:rsid w:val="00695F17"/>
    <w:rsid w:val="006D2842"/>
    <w:rsid w:val="00722EC4"/>
    <w:rsid w:val="00750954"/>
    <w:rsid w:val="007558C8"/>
    <w:rsid w:val="007651F9"/>
    <w:rsid w:val="00775661"/>
    <w:rsid w:val="007A12A4"/>
    <w:rsid w:val="007B5F64"/>
    <w:rsid w:val="007F1A35"/>
    <w:rsid w:val="00841AD4"/>
    <w:rsid w:val="00865E88"/>
    <w:rsid w:val="008C26EB"/>
    <w:rsid w:val="008E11D0"/>
    <w:rsid w:val="00974405"/>
    <w:rsid w:val="009853D1"/>
    <w:rsid w:val="009953A2"/>
    <w:rsid w:val="009C1973"/>
    <w:rsid w:val="00A00CD7"/>
    <w:rsid w:val="00A33567"/>
    <w:rsid w:val="00A42E9D"/>
    <w:rsid w:val="00B62562"/>
    <w:rsid w:val="00B8096D"/>
    <w:rsid w:val="00BD3457"/>
    <w:rsid w:val="00BD36FD"/>
    <w:rsid w:val="00C63ECB"/>
    <w:rsid w:val="00C95CFD"/>
    <w:rsid w:val="00CB0D25"/>
    <w:rsid w:val="00D003B6"/>
    <w:rsid w:val="00E44B81"/>
    <w:rsid w:val="00E6740F"/>
    <w:rsid w:val="00E957A1"/>
    <w:rsid w:val="00F61537"/>
    <w:rsid w:val="00F7783B"/>
    <w:rsid w:val="00FB6322"/>
    <w:rsid w:val="00FD59CF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0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1973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2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67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40F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67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40F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FB6322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FB6322"/>
    <w:rPr>
      <w:rFonts w:ascii="Arial" w:eastAsia="Times New Roman" w:hAnsi="Arial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26736A"/>
    <w:pPr>
      <w:spacing w:line="360" w:lineRule="auto"/>
      <w:jc w:val="center"/>
    </w:pPr>
    <w:rPr>
      <w:rFonts w:ascii="Bookman Old Style" w:hAnsi="Bookman Old Style"/>
      <w:b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26736A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8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83B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0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1973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2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67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40F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67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40F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FB6322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FB6322"/>
    <w:rPr>
      <w:rFonts w:ascii="Arial" w:eastAsia="Times New Roman" w:hAnsi="Arial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26736A"/>
    <w:pPr>
      <w:spacing w:line="360" w:lineRule="auto"/>
      <w:jc w:val="center"/>
    </w:pPr>
    <w:rPr>
      <w:rFonts w:ascii="Bookman Old Style" w:hAnsi="Bookman Old Style"/>
      <w:b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26736A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8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83B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E8C22-AEE1-4CEC-83D3-8FFD7DE8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GONZALEZ PADILLA</dc:creator>
  <cp:keywords/>
  <dc:description/>
  <cp:lastModifiedBy> </cp:lastModifiedBy>
  <cp:revision>4</cp:revision>
  <cp:lastPrinted>2014-05-20T17:26:00Z</cp:lastPrinted>
  <dcterms:created xsi:type="dcterms:W3CDTF">2014-05-20T17:26:00Z</dcterms:created>
  <dcterms:modified xsi:type="dcterms:W3CDTF">2014-06-13T21:08:00Z</dcterms:modified>
</cp:coreProperties>
</file>