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7C" w:rsidRDefault="00BE557C">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E557C" w:rsidRDefault="00BE557C">
      <w:pPr>
        <w:tabs>
          <w:tab w:val="left" w:pos="-720"/>
        </w:tabs>
        <w:suppressAutoHyphens/>
        <w:jc w:val="center"/>
        <w:rPr>
          <w:rFonts w:ascii="Helvetica" w:hAnsi="Helvetica"/>
          <w:b/>
          <w:lang w:val="es-ES_tradnl"/>
        </w:rPr>
      </w:pPr>
    </w:p>
    <w:p w:rsidR="00BE557C" w:rsidRDefault="00BE557C">
      <w:pPr>
        <w:tabs>
          <w:tab w:val="center" w:pos="4253"/>
        </w:tabs>
        <w:suppressAutoHyphens/>
        <w:jc w:val="center"/>
        <w:rPr>
          <w:rFonts w:ascii="Helvetica" w:hAnsi="Helvetica"/>
          <w:b/>
          <w:lang w:val="es-ES_tradnl"/>
        </w:rPr>
      </w:pPr>
      <w:r>
        <w:rPr>
          <w:rFonts w:ascii="Helvetica" w:hAnsi="Helvetica"/>
          <w:b/>
          <w:lang w:val="es-ES_tradnl"/>
        </w:rPr>
        <w:t>TRIBUNAL DE CUENTAS</w:t>
      </w:r>
    </w:p>
    <w:p w:rsidR="00BE557C" w:rsidRDefault="00BE557C">
      <w:pPr>
        <w:tabs>
          <w:tab w:val="left" w:pos="-720"/>
        </w:tabs>
        <w:suppressAutoHyphens/>
        <w:jc w:val="center"/>
        <w:rPr>
          <w:rFonts w:ascii="Helvetica" w:hAnsi="Helvetica"/>
          <w:b/>
          <w:lang w:val="es-ES_tradnl"/>
        </w:rPr>
      </w:pPr>
    </w:p>
    <w:p w:rsidR="00BE557C" w:rsidRDefault="001B61BA">
      <w:pPr>
        <w:tabs>
          <w:tab w:val="center" w:pos="4253"/>
        </w:tabs>
        <w:suppressAutoHyphens/>
        <w:jc w:val="center"/>
        <w:rPr>
          <w:rFonts w:ascii="Helvetica" w:hAnsi="Helvetica"/>
          <w:b/>
          <w:lang w:val="es-ES_tradnl"/>
        </w:rPr>
      </w:pPr>
      <w:r>
        <w:rPr>
          <w:rFonts w:ascii="Helvetica" w:hAnsi="Helvetica"/>
          <w:b/>
          <w:lang w:val="es-ES_tradnl"/>
        </w:rPr>
        <w:t>EN SESION DE FECHA 30</w:t>
      </w:r>
      <w:r w:rsidR="00BE557C">
        <w:rPr>
          <w:rFonts w:ascii="Helvetica" w:hAnsi="Helvetica"/>
          <w:b/>
          <w:lang w:val="es-ES_tradnl"/>
        </w:rPr>
        <w:t xml:space="preserve"> DE ABRIL DE 2014</w:t>
      </w:r>
    </w:p>
    <w:p w:rsidR="00BE557C" w:rsidRDefault="00BE557C">
      <w:pPr>
        <w:tabs>
          <w:tab w:val="center" w:pos="4253"/>
        </w:tabs>
        <w:suppressAutoHyphens/>
        <w:jc w:val="center"/>
        <w:rPr>
          <w:rFonts w:ascii="Helvetica" w:hAnsi="Helvetica"/>
          <w:b/>
          <w:lang w:val="es-ES_tradnl"/>
        </w:rPr>
      </w:pPr>
    </w:p>
    <w:p w:rsidR="00BE557C" w:rsidRPr="00BE557C" w:rsidRDefault="00BE557C">
      <w:pPr>
        <w:tabs>
          <w:tab w:val="center" w:pos="4253"/>
        </w:tabs>
        <w:suppressAutoHyphens/>
        <w:jc w:val="center"/>
        <w:rPr>
          <w:rFonts w:ascii="Helvetica" w:hAnsi="Helvetica"/>
          <w:b/>
        </w:rPr>
      </w:pPr>
      <w:r w:rsidRPr="00BE557C">
        <w:rPr>
          <w:rFonts w:ascii="Helvetica" w:hAnsi="Helvetica"/>
          <w:b/>
        </w:rPr>
        <w:t>(E. E. Nº 2014-17-1-0002034, Ent. N° 1523/14)</w:t>
      </w:r>
    </w:p>
    <w:p w:rsidR="00BE557C" w:rsidRPr="00BE557C" w:rsidRDefault="00BE557C">
      <w:pPr>
        <w:tabs>
          <w:tab w:val="center" w:pos="4253"/>
        </w:tabs>
        <w:suppressAutoHyphens/>
        <w:jc w:val="center"/>
        <w:rPr>
          <w:spacing w:val="-3"/>
        </w:rPr>
      </w:pPr>
    </w:p>
    <w:p w:rsidR="00BE557C" w:rsidRPr="00BE557C" w:rsidRDefault="00BE557C">
      <w:pPr>
        <w:tabs>
          <w:tab w:val="center" w:pos="4253"/>
        </w:tabs>
        <w:suppressAutoHyphens/>
        <w:rPr>
          <w:spacing w:val="-3"/>
        </w:rPr>
      </w:pPr>
    </w:p>
    <w:p w:rsidR="00224BFF" w:rsidRDefault="00224BFF" w:rsidP="00BE557C">
      <w:pPr>
        <w:spacing w:line="360" w:lineRule="auto"/>
        <w:ind w:firstLine="851"/>
        <w:jc w:val="both"/>
        <w:rPr>
          <w:lang w:val="es-ES_tradnl"/>
        </w:rPr>
      </w:pPr>
      <w:r>
        <w:rPr>
          <w:b/>
          <w:lang w:val="es-ES_tradnl"/>
        </w:rPr>
        <w:t xml:space="preserve">VISTO: </w:t>
      </w:r>
      <w:r>
        <w:rPr>
          <w:lang w:val="es-ES_tradnl"/>
        </w:rPr>
        <w:t>que este Tribunal ha examinado el “Estado de Efectivo Recibido y Desembolsos Efectuados al 31/12/2013”, el “Estado de Inversiones del Programa al 31/12/2013”, el “Estado Cambio</w:t>
      </w:r>
      <w:r w:rsidR="00E7515E">
        <w:rPr>
          <w:lang w:val="es-ES_tradnl"/>
        </w:rPr>
        <w:t>s</w:t>
      </w:r>
      <w:r>
        <w:rPr>
          <w:lang w:val="es-ES_tradnl"/>
        </w:rPr>
        <w:t xml:space="preserve"> de Activos y Pasivos con cifras comparativas 31/12/201</w:t>
      </w:r>
      <w:r w:rsidR="008C6CC7">
        <w:rPr>
          <w:lang w:val="es-ES_tradnl"/>
        </w:rPr>
        <w:t>2-31/12/2013” y sus respectivas Notas y</w:t>
      </w:r>
      <w:r>
        <w:rPr>
          <w:lang w:val="es-ES_tradnl"/>
        </w:rPr>
        <w:t xml:space="preserve"> </w:t>
      </w:r>
      <w:r w:rsidR="00D16DA2">
        <w:rPr>
          <w:lang w:val="es-ES_tradnl"/>
        </w:rPr>
        <w:t xml:space="preserve">el estado “Justificación de Desembolsos” </w:t>
      </w:r>
      <w:r>
        <w:rPr>
          <w:lang w:val="es-ES_tradnl"/>
        </w:rPr>
        <w:t>formulados en dólares estadounidenses, remitidos por la Administración Nacional de Educación Pública. Los referidos estados financieros corresponden a la ejecución del “Programa de Apoyo a la Educación Media y Técnica y a la Formación en Educación” financiado parcialmente con recursos del Contrato de Préstamo BID N°</w:t>
      </w:r>
      <w:r w:rsidR="00AF56AC">
        <w:rPr>
          <w:lang w:val="es-ES_tradnl"/>
        </w:rPr>
        <w:t xml:space="preserve"> </w:t>
      </w:r>
      <w:r>
        <w:rPr>
          <w:lang w:val="es-ES_tradnl"/>
        </w:rPr>
        <w:t xml:space="preserve">2480/OC-UR; </w:t>
      </w:r>
    </w:p>
    <w:p w:rsidR="00224BFF" w:rsidRDefault="00224BFF" w:rsidP="00BE557C">
      <w:pPr>
        <w:spacing w:line="360" w:lineRule="auto"/>
        <w:ind w:firstLine="851"/>
        <w:jc w:val="both"/>
        <w:rPr>
          <w:lang w:val="es-ES_tradnl"/>
        </w:rPr>
      </w:pPr>
      <w:r>
        <w:rPr>
          <w:b/>
          <w:lang w:val="es-ES_tradnl"/>
        </w:rPr>
        <w:t xml:space="preserve">RESULTANDO: </w:t>
      </w:r>
      <w:r>
        <w:rPr>
          <w:lang w:val="es-ES_tradnl"/>
        </w:rPr>
        <w:t>que el examen fue practicado de acuerdo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 Interamericano de Desarrollo”;</w:t>
      </w:r>
    </w:p>
    <w:p w:rsidR="00224BFF" w:rsidRDefault="00224BFF" w:rsidP="00BE557C">
      <w:pPr>
        <w:spacing w:line="360" w:lineRule="auto"/>
        <w:ind w:firstLine="851"/>
        <w:jc w:val="both"/>
        <w:rPr>
          <w:b/>
          <w:lang w:val="es-ES_tradnl"/>
        </w:rPr>
      </w:pPr>
      <w:r>
        <w:rPr>
          <w:b/>
          <w:lang w:val="es-ES_tradnl"/>
        </w:rPr>
        <w:t xml:space="preserve">CONSIDERANDO: </w:t>
      </w:r>
      <w:r>
        <w:rPr>
          <w:lang w:val="es-ES_tradnl"/>
        </w:rPr>
        <w:t xml:space="preserve">que las conclusiones y evidencias obtenidas son las que se expresan en el Informe de Auditoría, que incluye </w:t>
      </w:r>
      <w:r w:rsidRPr="000040F7">
        <w:rPr>
          <w:lang w:val="es-ES_tradnl"/>
        </w:rPr>
        <w:t>Dictámenes</w:t>
      </w:r>
      <w:r w:rsidR="00E7515E">
        <w:rPr>
          <w:lang w:val="es-ES_tradnl"/>
        </w:rPr>
        <w:t xml:space="preserve"> e </w:t>
      </w:r>
      <w:r w:rsidR="00251195">
        <w:rPr>
          <w:lang w:val="es-ES_tradnl"/>
        </w:rPr>
        <w:t xml:space="preserve">Informe </w:t>
      </w:r>
      <w:r>
        <w:rPr>
          <w:lang w:val="es-ES_tradnl"/>
        </w:rPr>
        <w:t>a la Administración;</w:t>
      </w:r>
    </w:p>
    <w:p w:rsidR="00224BFF" w:rsidRDefault="00224BFF" w:rsidP="00BE557C">
      <w:pPr>
        <w:spacing w:line="360" w:lineRule="auto"/>
        <w:ind w:firstLine="851"/>
        <w:jc w:val="both"/>
        <w:rPr>
          <w:lang w:val="es-ES_tradnl"/>
        </w:rPr>
      </w:pPr>
      <w:r>
        <w:rPr>
          <w:b/>
          <w:lang w:val="es-ES_tradnl"/>
        </w:rPr>
        <w:t xml:space="preserve">ATENTO: </w:t>
      </w:r>
      <w:r>
        <w:rPr>
          <w:lang w:val="es-ES_tradnl"/>
        </w:rPr>
        <w:t>a lo establecido en el Capítulo VII, Artículo 7.04 b) de las Normas Generales del Contrato de Préstamo Nº</w:t>
      </w:r>
      <w:r w:rsidR="00C20910">
        <w:rPr>
          <w:lang w:val="es-ES_tradnl"/>
        </w:rPr>
        <w:t xml:space="preserve"> </w:t>
      </w:r>
      <w:r>
        <w:rPr>
          <w:lang w:val="es-ES_tradnl"/>
        </w:rPr>
        <w:t>2480/OC-UR celebrado entre la República Oriental del Uruguay y el Banco Interamericano de Desarrollo con fecha 9  de febrero de 2011;</w:t>
      </w:r>
    </w:p>
    <w:p w:rsidR="00224BFF" w:rsidRDefault="00224BFF">
      <w:pPr>
        <w:pStyle w:val="Ttulo1"/>
        <w:jc w:val="center"/>
      </w:pPr>
      <w:r>
        <w:lastRenderedPageBreak/>
        <w:t>EL TRIBUNAL ACUERDA</w:t>
      </w:r>
    </w:p>
    <w:p w:rsidR="00224BFF" w:rsidRDefault="00224BFF">
      <w:pPr>
        <w:pStyle w:val="Textoindependiente2"/>
        <w:widowControl/>
        <w:numPr>
          <w:ilvl w:val="0"/>
          <w:numId w:val="2"/>
        </w:numPr>
        <w:tabs>
          <w:tab w:val="clear" w:pos="3968"/>
        </w:tabs>
        <w:suppressAutoHyphens w:val="0"/>
        <w:spacing w:line="360" w:lineRule="auto"/>
        <w:rPr>
          <w:b w:val="0"/>
        </w:rPr>
      </w:pPr>
      <w:r>
        <w:rPr>
          <w:b w:val="0"/>
        </w:rPr>
        <w:t xml:space="preserve">Expedirse en los términos del Informe de Auditoría que </w:t>
      </w:r>
      <w:r w:rsidR="00BE557C">
        <w:rPr>
          <w:b w:val="0"/>
        </w:rPr>
        <w:t>se adjunta;</w:t>
      </w:r>
    </w:p>
    <w:p w:rsidR="00224BFF" w:rsidRDefault="00224BFF">
      <w:pPr>
        <w:pStyle w:val="Textoindependiente2"/>
        <w:widowControl/>
        <w:numPr>
          <w:ilvl w:val="0"/>
          <w:numId w:val="2"/>
        </w:numPr>
        <w:tabs>
          <w:tab w:val="clear" w:pos="3968"/>
        </w:tabs>
        <w:suppressAutoHyphens w:val="0"/>
        <w:spacing w:line="360" w:lineRule="auto"/>
        <w:rPr>
          <w:b w:val="0"/>
        </w:rPr>
      </w:pPr>
      <w:r>
        <w:rPr>
          <w:b w:val="0"/>
        </w:rPr>
        <w:t>Remitir el Informe de Auditoría al BID y a la Administració</w:t>
      </w:r>
      <w:r w:rsidR="00BE557C">
        <w:rPr>
          <w:b w:val="0"/>
        </w:rPr>
        <w:t>n Nacional de Educación Pública;</w:t>
      </w:r>
    </w:p>
    <w:p w:rsidR="00224BFF" w:rsidRDefault="00224BFF">
      <w:pPr>
        <w:pStyle w:val="Textoindependiente2"/>
        <w:widowControl/>
        <w:numPr>
          <w:ilvl w:val="0"/>
          <w:numId w:val="2"/>
        </w:numPr>
        <w:tabs>
          <w:tab w:val="clear" w:pos="3968"/>
        </w:tabs>
        <w:suppressAutoHyphens w:val="0"/>
        <w:spacing w:line="360" w:lineRule="auto"/>
        <w:rPr>
          <w:b w:val="0"/>
        </w:rPr>
      </w:pPr>
      <w:r>
        <w:rPr>
          <w:b w:val="0"/>
        </w:rPr>
        <w:t>Dar cuenta a la Asamblea General.</w:t>
      </w:r>
    </w:p>
    <w:p w:rsidR="00BE557C" w:rsidRDefault="00BE557C" w:rsidP="00BE557C">
      <w:pPr>
        <w:pStyle w:val="Textoindependiente2"/>
        <w:widowControl/>
        <w:tabs>
          <w:tab w:val="clear" w:pos="3968"/>
        </w:tabs>
        <w:suppressAutoHyphens w:val="0"/>
        <w:spacing w:line="360" w:lineRule="auto"/>
        <w:rPr>
          <w:b w:val="0"/>
        </w:rPr>
      </w:pPr>
    </w:p>
    <w:p w:rsidR="00BE557C" w:rsidRDefault="00BE557C" w:rsidP="00BE557C">
      <w:pPr>
        <w:pStyle w:val="Textoindependiente2"/>
        <w:widowControl/>
        <w:tabs>
          <w:tab w:val="clear" w:pos="3968"/>
        </w:tabs>
        <w:suppressAutoHyphens w:val="0"/>
        <w:spacing w:line="360" w:lineRule="auto"/>
        <w:rPr>
          <w:b w:val="0"/>
        </w:rPr>
      </w:pPr>
    </w:p>
    <w:p w:rsidR="00382592" w:rsidRDefault="00382592">
      <w:pPr>
        <w:pStyle w:val="Ttulo2"/>
        <w:spacing w:line="360" w:lineRule="auto"/>
      </w:pPr>
      <w:r>
        <w:t xml:space="preserve">DICTAMEN  </w:t>
      </w:r>
    </w:p>
    <w:p w:rsidR="00382592" w:rsidRDefault="00382592">
      <w:pPr>
        <w:tabs>
          <w:tab w:val="left" w:pos="0"/>
        </w:tabs>
        <w:suppressAutoHyphens/>
        <w:spacing w:line="360" w:lineRule="auto"/>
        <w:jc w:val="both"/>
        <w:rPr>
          <w:spacing w:val="-3"/>
        </w:rPr>
      </w:pPr>
    </w:p>
    <w:p w:rsidR="00382592" w:rsidRDefault="00382592" w:rsidP="00382592">
      <w:pPr>
        <w:tabs>
          <w:tab w:val="left" w:pos="0"/>
        </w:tabs>
        <w:suppressAutoHyphens/>
        <w:spacing w:line="360" w:lineRule="auto"/>
        <w:ind w:firstLine="851"/>
        <w:jc w:val="both"/>
        <w:rPr>
          <w:spacing w:val="-3"/>
        </w:rPr>
      </w:pPr>
      <w:r>
        <w:rPr>
          <w:spacing w:val="-3"/>
        </w:rPr>
        <w:t>El Tribunal de Cuentas ha examinado los estados financieros básicos del “Programa de Apoyo a la Educación Media y Técnica y a la Formación en Educación”, parcialmente financiado con recursos del Contrato de Préstamo del Banco Interamericano de Desarrollo Nº 2480/OC-UR, ejecutado por la Administración Nacional de Educación Pública, que comprenden el “Estado de Efectivo Recibido y Desembolsos Efectuados al 31/12/2013”, el “Estado de Inversiones del Programa al 31/12/2013” y el “Estado de Cambios de Activos y Pasivos con cifras comparativas 31/12/2012-31/12/2013”  formulados en dólares estadounidenses y las Notas que los acompañan.</w:t>
      </w:r>
    </w:p>
    <w:p w:rsidR="00382592" w:rsidRDefault="00382592">
      <w:pPr>
        <w:tabs>
          <w:tab w:val="left" w:pos="0"/>
        </w:tabs>
        <w:suppressAutoHyphens/>
        <w:spacing w:line="360" w:lineRule="auto"/>
        <w:jc w:val="both"/>
        <w:rPr>
          <w:spacing w:val="-3"/>
        </w:rPr>
      </w:pPr>
    </w:p>
    <w:p w:rsidR="00382592" w:rsidRDefault="00382592">
      <w:pPr>
        <w:tabs>
          <w:tab w:val="left" w:pos="0"/>
        </w:tabs>
        <w:suppressAutoHyphens/>
        <w:spacing w:line="360" w:lineRule="auto"/>
        <w:jc w:val="both"/>
        <w:rPr>
          <w:b/>
          <w:spacing w:val="-3"/>
        </w:rPr>
      </w:pPr>
      <w:r>
        <w:rPr>
          <w:b/>
          <w:spacing w:val="-3"/>
        </w:rPr>
        <w:t>Responsabilidad de la Dirección por los estados financieros</w:t>
      </w:r>
    </w:p>
    <w:p w:rsidR="00382592" w:rsidRDefault="00382592" w:rsidP="00382592">
      <w:pPr>
        <w:tabs>
          <w:tab w:val="left" w:pos="0"/>
        </w:tabs>
        <w:suppressAutoHyphens/>
        <w:spacing w:line="360" w:lineRule="auto"/>
        <w:ind w:firstLine="851"/>
        <w:jc w:val="both"/>
        <w:rPr>
          <w:spacing w:val="-3"/>
        </w:rPr>
      </w:pPr>
      <w:r>
        <w:rPr>
          <w:spacing w:val="-3"/>
        </w:rPr>
        <w:t>La Dirección del “Programa de Apoyo a la Educación Media y Técnica y a la Formación en Educación” es responsable por la preparación y la razonable presentación de estos estados financieros de acuerdo con las normas del BID y en lo aplicable con las Normas Internacionales de Información Financiera.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82592" w:rsidRDefault="00382592">
      <w:pPr>
        <w:tabs>
          <w:tab w:val="left" w:pos="0"/>
        </w:tabs>
        <w:suppressAutoHyphens/>
        <w:spacing w:line="360" w:lineRule="auto"/>
        <w:jc w:val="both"/>
        <w:rPr>
          <w:b/>
          <w:spacing w:val="-3"/>
        </w:rPr>
      </w:pPr>
      <w:r>
        <w:rPr>
          <w:b/>
          <w:spacing w:val="-3"/>
        </w:rPr>
        <w:lastRenderedPageBreak/>
        <w:t>Responsabilidad del Auditor</w:t>
      </w:r>
    </w:p>
    <w:p w:rsidR="00382592" w:rsidRDefault="00382592" w:rsidP="00382592">
      <w:pPr>
        <w:tabs>
          <w:tab w:val="left" w:pos="0"/>
        </w:tabs>
        <w:suppressAutoHyphens/>
        <w:spacing w:line="360" w:lineRule="auto"/>
        <w:ind w:firstLine="851"/>
        <w:jc w:val="both"/>
        <w:rPr>
          <w:spacing w:val="-3"/>
        </w:rPr>
      </w:pPr>
      <w:r>
        <w:rPr>
          <w:spacing w:val="-3"/>
        </w:rPr>
        <w:t xml:space="preserve">La responsabilidad del Tribunal de Cuentas es expresar una opinión sobre dichos estados financieros basada en la auditoría. Esta auditoría fue realizada de acuerdo con </w:t>
      </w:r>
      <w:r>
        <w:rPr>
          <w:rFonts w:cs="Arial"/>
        </w:rPr>
        <w:t xml:space="preserve">los Principios Fundamentales de Auditoría (ISSAI 100 y 200) y las Directrices de Auditoría Financiera (ISSAI 1000 a 1810) de la  Organización Internacional de Entidades Fiscalizadoras Superiores (INTOSAI) </w:t>
      </w:r>
      <w:r>
        <w:rPr>
          <w:spacing w:val="-3"/>
        </w:rPr>
        <w:t xml:space="preserve">y con los requerimientos de auditoría independiente emitidos por el Banco Interamericano de Desarrollo (BID) </w:t>
      </w:r>
      <w:r>
        <w:rPr>
          <w:rFonts w:cs="Arial"/>
        </w:rPr>
        <w:t>en las “Guías de Informes Financieros y Auditoría Externa de las Operaciones Financiadas por el Banco Interamericano de Desarrollo”</w:t>
      </w:r>
      <w:r>
        <w:rPr>
          <w:spacing w:val="-3"/>
        </w:rPr>
        <w:t>. Estas normas requieren que se cumpla con requisitos éticos, se planifique y se realice la auditoría para obtener seguridad razonable acerca de si los estados financieros están libres de errores significativos.</w:t>
      </w:r>
    </w:p>
    <w:p w:rsidR="00382592" w:rsidRDefault="00382592" w:rsidP="00382592">
      <w:pPr>
        <w:tabs>
          <w:tab w:val="left" w:pos="0"/>
        </w:tabs>
        <w:suppressAutoHyphens/>
        <w:spacing w:line="360" w:lineRule="auto"/>
        <w:ind w:firstLine="851"/>
        <w:jc w:val="both"/>
        <w:rPr>
          <w:spacing w:val="-3"/>
        </w:rPr>
      </w:pPr>
      <w:r>
        <w:rPr>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relevantes de la entidad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la presentación general de los estados financieros.</w:t>
      </w:r>
    </w:p>
    <w:p w:rsidR="00382592" w:rsidRDefault="00382592" w:rsidP="00382592">
      <w:pPr>
        <w:tabs>
          <w:tab w:val="left" w:pos="0"/>
        </w:tabs>
        <w:suppressAutoHyphens/>
        <w:spacing w:line="360" w:lineRule="auto"/>
        <w:ind w:firstLine="851"/>
        <w:jc w:val="both"/>
        <w:rPr>
          <w:spacing w:val="-3"/>
        </w:rPr>
      </w:pPr>
      <w:r>
        <w:rPr>
          <w:spacing w:val="-3"/>
        </w:rPr>
        <w:t>Se considera que la evidencia de auditoría obtenida brinda una base suficiente y apropiada para sustentar la opinión.</w:t>
      </w:r>
    </w:p>
    <w:p w:rsidR="00382592" w:rsidRDefault="00382592">
      <w:pPr>
        <w:tabs>
          <w:tab w:val="left" w:pos="0"/>
        </w:tabs>
        <w:suppressAutoHyphens/>
        <w:spacing w:line="360" w:lineRule="auto"/>
        <w:jc w:val="both"/>
        <w:rPr>
          <w:b/>
          <w:spacing w:val="-3"/>
        </w:rPr>
      </w:pPr>
    </w:p>
    <w:p w:rsidR="00EA3AFA" w:rsidRDefault="00EA3AFA">
      <w:pPr>
        <w:tabs>
          <w:tab w:val="left" w:pos="0"/>
        </w:tabs>
        <w:suppressAutoHyphens/>
        <w:spacing w:line="360" w:lineRule="auto"/>
        <w:jc w:val="both"/>
        <w:rPr>
          <w:b/>
          <w:spacing w:val="-3"/>
        </w:rPr>
      </w:pPr>
    </w:p>
    <w:p w:rsidR="00382592" w:rsidRDefault="00382592">
      <w:pPr>
        <w:tabs>
          <w:tab w:val="left" w:pos="0"/>
        </w:tabs>
        <w:suppressAutoHyphens/>
        <w:spacing w:line="360" w:lineRule="auto"/>
        <w:jc w:val="both"/>
        <w:rPr>
          <w:b/>
          <w:spacing w:val="-3"/>
        </w:rPr>
      </w:pPr>
      <w:r>
        <w:rPr>
          <w:b/>
          <w:spacing w:val="-3"/>
        </w:rPr>
        <w:lastRenderedPageBreak/>
        <w:t>Opinión</w:t>
      </w:r>
    </w:p>
    <w:p w:rsidR="00382592" w:rsidRDefault="00382592" w:rsidP="00382592">
      <w:pPr>
        <w:tabs>
          <w:tab w:val="left" w:pos="0"/>
        </w:tabs>
        <w:suppressAutoHyphens/>
        <w:spacing w:line="360" w:lineRule="auto"/>
        <w:ind w:firstLine="851"/>
        <w:jc w:val="both"/>
        <w:rPr>
          <w:spacing w:val="-3"/>
        </w:rPr>
      </w:pPr>
      <w:r>
        <w:rPr>
          <w:spacing w:val="-3"/>
        </w:rPr>
        <w:t>En opinión del Tribunal de Cuentas los estados financieros mencionados, leídos conjuntamente con las Notas que los acompañan, presentan razonablemente, en todos sus aspectos importantes, los flujos de efectivo, las inversiones y la situación patrimonial al 31/12/2013 y los flujos de efectivo y las inversiones del ejercicio 2013 del “Programa de Apoyo a la Educación Media y Técnica y a la Formación en Educación”, de acuerdo con los requerimientos del BID y en lo aplicable con las Normas Internacionales de Información Financiera.</w:t>
      </w:r>
    </w:p>
    <w:p w:rsidR="00382592" w:rsidRDefault="00EA3AFA">
      <w:pPr>
        <w:tabs>
          <w:tab w:val="left" w:pos="0"/>
        </w:tabs>
        <w:suppressAutoHyphens/>
        <w:spacing w:line="360" w:lineRule="auto"/>
        <w:jc w:val="right"/>
        <w:rPr>
          <w:spacing w:val="-3"/>
        </w:rPr>
      </w:pPr>
      <w:r>
        <w:rPr>
          <w:spacing w:val="-3"/>
        </w:rPr>
        <w:t>Montevideo, 9 de abril de 2014</w:t>
      </w:r>
    </w:p>
    <w:p w:rsidR="00382592" w:rsidRDefault="00382592">
      <w:pPr>
        <w:tabs>
          <w:tab w:val="left" w:pos="0"/>
        </w:tabs>
        <w:suppressAutoHyphens/>
        <w:spacing w:line="360" w:lineRule="auto"/>
        <w:jc w:val="right"/>
        <w:rPr>
          <w:spacing w:val="-3"/>
        </w:rPr>
      </w:pPr>
    </w:p>
    <w:p w:rsidR="00382592" w:rsidRDefault="00382592">
      <w:pPr>
        <w:tabs>
          <w:tab w:val="left" w:pos="0"/>
        </w:tabs>
        <w:suppressAutoHyphens/>
        <w:spacing w:line="360" w:lineRule="auto"/>
        <w:jc w:val="center"/>
        <w:rPr>
          <w:rFonts w:cs="Arial"/>
          <w:spacing w:val="-3"/>
        </w:rPr>
      </w:pPr>
      <w:r>
        <w:rPr>
          <w:b/>
          <w:spacing w:val="-3"/>
          <w:lang w:val="es-ES_tradnl"/>
        </w:rPr>
        <w:t xml:space="preserve">DICTAMEN </w:t>
      </w:r>
    </w:p>
    <w:p w:rsidR="00382592" w:rsidRDefault="00382592" w:rsidP="00382592">
      <w:pPr>
        <w:pStyle w:val="Piedepgina"/>
        <w:widowControl/>
        <w:tabs>
          <w:tab w:val="clear" w:pos="4252"/>
          <w:tab w:val="left" w:pos="709"/>
        </w:tabs>
        <w:spacing w:line="360" w:lineRule="auto"/>
        <w:ind w:firstLine="851"/>
        <w:jc w:val="both"/>
        <w:rPr>
          <w:rFonts w:ascii="Arial" w:hAnsi="Arial" w:cs="Arial"/>
          <w:bCs/>
          <w:spacing w:val="-3"/>
          <w:sz w:val="24"/>
        </w:rPr>
      </w:pPr>
      <w:r>
        <w:rPr>
          <w:rFonts w:ascii="Arial" w:hAnsi="Arial" w:cs="Arial"/>
          <w:bCs/>
          <w:spacing w:val="-3"/>
          <w:sz w:val="24"/>
        </w:rPr>
        <w:t>El Tribunal de Cuentas ha examinado la información presentada en el estado “Justificación de Desembolsos” por el período 01/01/2013 - 31/12/2013 del “Programa de Apoyo a la Educación Media y Técnica y a la Formación en Educación”, parcialmente financiado con recursos del Contrato de Préstamo del Banco Interamericano de Desarrollo Nº 2480/OC-UR, ejecutado por la Administración Nacional de Educación Pública. Dicha información comprende las justificaciones de desembolsos 4 y 5.</w:t>
      </w:r>
    </w:p>
    <w:p w:rsidR="00382592" w:rsidRDefault="00382592">
      <w:pPr>
        <w:pStyle w:val="Piedepgina"/>
        <w:widowControl/>
        <w:spacing w:line="360" w:lineRule="auto"/>
        <w:ind w:firstLine="1134"/>
        <w:jc w:val="both"/>
        <w:rPr>
          <w:rFonts w:ascii="Arial" w:hAnsi="Arial" w:cs="Arial"/>
          <w:bCs/>
          <w:spacing w:val="-3"/>
          <w:sz w:val="24"/>
        </w:rPr>
      </w:pPr>
    </w:p>
    <w:p w:rsidR="00382592" w:rsidRDefault="00382592">
      <w:pPr>
        <w:pStyle w:val="Piedepgina"/>
        <w:widowControl/>
        <w:spacing w:line="360" w:lineRule="auto"/>
        <w:jc w:val="both"/>
        <w:rPr>
          <w:rFonts w:ascii="Arial" w:hAnsi="Arial" w:cs="Arial"/>
          <w:b/>
          <w:bCs/>
          <w:spacing w:val="-3"/>
          <w:sz w:val="24"/>
        </w:rPr>
      </w:pPr>
      <w:r>
        <w:rPr>
          <w:rFonts w:ascii="Arial" w:hAnsi="Arial" w:cs="Arial"/>
          <w:b/>
          <w:bCs/>
          <w:spacing w:val="-3"/>
          <w:sz w:val="24"/>
        </w:rPr>
        <w:t>Responsabilidad de la Dirección por el estado financiero</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La Dirección del “Programa de Apoyo a la Educación Media y Técnica y a la Formación en Educación” es responsable por la preparación y la razonable presentación de este estado financiero de acuerdo con las normas del BID.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aplicar políticas contables apropiadas, y realizar estimaciones contables razonables en las circunstancias.</w:t>
      </w:r>
    </w:p>
    <w:p w:rsidR="00382592" w:rsidRDefault="00382592">
      <w:pPr>
        <w:pStyle w:val="Piedepgina"/>
        <w:widowControl/>
        <w:spacing w:line="360" w:lineRule="auto"/>
        <w:jc w:val="both"/>
        <w:rPr>
          <w:rFonts w:ascii="Arial" w:hAnsi="Arial" w:cs="Arial"/>
          <w:b/>
          <w:bCs/>
          <w:spacing w:val="-3"/>
          <w:sz w:val="24"/>
        </w:rPr>
      </w:pPr>
    </w:p>
    <w:p w:rsidR="00382592" w:rsidRDefault="00382592">
      <w:pPr>
        <w:pStyle w:val="Piedepgina"/>
        <w:widowControl/>
        <w:spacing w:line="360" w:lineRule="auto"/>
        <w:jc w:val="both"/>
        <w:rPr>
          <w:rFonts w:ascii="Arial" w:hAnsi="Arial" w:cs="Arial"/>
          <w:b/>
          <w:bCs/>
          <w:spacing w:val="-3"/>
          <w:sz w:val="24"/>
        </w:rPr>
      </w:pPr>
      <w:r>
        <w:rPr>
          <w:rFonts w:ascii="Arial" w:hAnsi="Arial" w:cs="Arial"/>
          <w:b/>
          <w:bCs/>
          <w:spacing w:val="-3"/>
          <w:sz w:val="24"/>
        </w:rPr>
        <w:t>Responsabilidad del Auditor</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 xml:space="preserve">La responsabilidad del Tribunal de Cuentas es expresar una opinión sobre el estado “Justificación de Desembolsos” basada en la auditoría practicada. Esta auditoría fue realizada de acuerdo con </w:t>
      </w:r>
      <w:r>
        <w:rPr>
          <w:rFonts w:ascii="Arial" w:hAnsi="Arial" w:cs="Arial"/>
          <w:sz w:val="24"/>
        </w:rPr>
        <w:t>los Principios Fundamentales de Auditoría (ISSAI 100 y 200) y las Directrices de Auditoría Financiera (ISSAI 1000 a 1810) de</w:t>
      </w:r>
      <w:r>
        <w:rPr>
          <w:rFonts w:ascii="Arial" w:hAnsi="Arial" w:cs="Arial"/>
          <w:bCs/>
          <w:spacing w:val="-3"/>
          <w:sz w:val="24"/>
        </w:rPr>
        <w:t xml:space="preserve"> la Organización Internacional de Entidades Fiscalizadoras Superiores (INTOSAI) y con los requerimientos </w:t>
      </w:r>
      <w:r>
        <w:rPr>
          <w:rFonts w:ascii="Arial" w:hAnsi="Arial"/>
          <w:spacing w:val="-3"/>
          <w:sz w:val="24"/>
        </w:rPr>
        <w:t xml:space="preserve">de auditoría independiente </w:t>
      </w:r>
      <w:r>
        <w:rPr>
          <w:rFonts w:ascii="Arial" w:hAnsi="Arial" w:cs="Arial"/>
          <w:bCs/>
          <w:spacing w:val="-3"/>
          <w:sz w:val="24"/>
        </w:rPr>
        <w:t>del Banco Interamericano de Desarrollo (BID)</w:t>
      </w:r>
      <w:r>
        <w:rPr>
          <w:rFonts w:ascii="Arial" w:hAnsi="Arial" w:cs="Arial"/>
          <w:sz w:val="24"/>
        </w:rPr>
        <w:t xml:space="preserve"> en las “Guías de Informes Financieros y Auditoría Externa de las Operaciones Financiadas por el Banco Interamericano de Desarrollo”</w:t>
      </w:r>
      <w:r>
        <w:rPr>
          <w:rFonts w:ascii="Arial" w:hAnsi="Arial"/>
          <w:spacing w:val="-3"/>
          <w:sz w:val="24"/>
        </w:rPr>
        <w:t>.</w:t>
      </w:r>
      <w:r>
        <w:rPr>
          <w:rFonts w:ascii="Arial" w:hAnsi="Arial" w:cs="Arial"/>
          <w:bCs/>
          <w:spacing w:val="-3"/>
          <w:sz w:val="24"/>
        </w:rPr>
        <w:t xml:space="preserve"> Estas normas requieren que se cumpla con requisitos éticos, se planifique y se realice la auditoría para obtener seguridad razonable acerca de si los estados financieros y la información financiera complementaria están libres de errores significativos.</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Una auditoría implica realizar procedimientos para obtener evidencia de que las justificaciones de desembolso están debidamente sustentadas. Los procedimientos utilizados dependen del juicio profesional del auditor, incluyendo la evaluación de los riesgos y la selección mediante muestreo de comprobantes, verificar que los mismos son fidedignos, fueron mantenidos ordenadamente en archivos y registrados en forma oportuna y adecuada y que resultan elegibles para ser financiados con los recursos del préstamo. Al efectuar la evaluación de riesgos, el auditor considera los aspectos de control interno relevantes de la entidad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Se considera que la evidencia de auditoría obtenida brinda una base suficiente y apropiada para sustentar la opinión.</w:t>
      </w:r>
    </w:p>
    <w:p w:rsidR="000B5350" w:rsidRDefault="000B5350">
      <w:pPr>
        <w:pStyle w:val="Piedepgina"/>
        <w:widowControl/>
        <w:tabs>
          <w:tab w:val="clear" w:pos="4252"/>
          <w:tab w:val="left" w:pos="709"/>
        </w:tabs>
        <w:spacing w:line="360" w:lineRule="auto"/>
        <w:jc w:val="both"/>
        <w:rPr>
          <w:rFonts w:ascii="Arial" w:hAnsi="Arial" w:cs="Arial"/>
          <w:bCs/>
          <w:spacing w:val="-3"/>
          <w:sz w:val="24"/>
        </w:rPr>
      </w:pPr>
    </w:p>
    <w:p w:rsidR="00382592" w:rsidRDefault="00382592">
      <w:pPr>
        <w:pStyle w:val="Piedepgina"/>
        <w:widowControl/>
        <w:spacing w:line="360" w:lineRule="auto"/>
        <w:jc w:val="both"/>
        <w:rPr>
          <w:rFonts w:ascii="Arial" w:hAnsi="Arial" w:cs="Arial"/>
          <w:b/>
          <w:bCs/>
          <w:spacing w:val="-3"/>
          <w:sz w:val="24"/>
        </w:rPr>
      </w:pPr>
      <w:r>
        <w:rPr>
          <w:rFonts w:ascii="Arial" w:hAnsi="Arial" w:cs="Arial"/>
          <w:b/>
          <w:bCs/>
          <w:spacing w:val="-3"/>
          <w:sz w:val="24"/>
        </w:rPr>
        <w:lastRenderedPageBreak/>
        <w:t>Opinión</w:t>
      </w:r>
    </w:p>
    <w:p w:rsidR="00382592" w:rsidRDefault="00382592">
      <w:pPr>
        <w:pStyle w:val="Piedepgina"/>
        <w:widowControl/>
        <w:tabs>
          <w:tab w:val="clear" w:pos="4252"/>
          <w:tab w:val="left" w:pos="709"/>
        </w:tabs>
        <w:spacing w:line="360" w:lineRule="auto"/>
        <w:jc w:val="both"/>
        <w:rPr>
          <w:rFonts w:ascii="Arial" w:hAnsi="Arial" w:cs="Arial"/>
          <w:bCs/>
          <w:spacing w:val="-3"/>
          <w:sz w:val="24"/>
        </w:rPr>
      </w:pPr>
      <w:r>
        <w:rPr>
          <w:rFonts w:ascii="Arial" w:hAnsi="Arial" w:cs="Arial"/>
          <w:bCs/>
          <w:spacing w:val="-3"/>
          <w:sz w:val="24"/>
        </w:rPr>
        <w:tab/>
        <w:t xml:space="preserve">En opinión del Tribunal de Cuentas el estado “Justificación de Desembolsos” correspondiente al período 01/01/2013 - 31/12/2013, la información y anexos que lo respaldan, junto con los controles y procedimientos internos utilizados en su preparación, son razonables para sustentar las justificaciones de desembolso de gastos incurridos de conformidad con los requisitos del BID. </w:t>
      </w:r>
    </w:p>
    <w:p w:rsidR="00382592" w:rsidRDefault="000B5350" w:rsidP="00382592">
      <w:pPr>
        <w:pStyle w:val="Piedepgina"/>
        <w:widowControl/>
        <w:spacing w:line="360" w:lineRule="auto"/>
        <w:ind w:firstLine="4253"/>
        <w:jc w:val="right"/>
        <w:rPr>
          <w:rFonts w:ascii="Arial" w:hAnsi="Arial"/>
          <w:bCs/>
          <w:spacing w:val="-3"/>
          <w:sz w:val="24"/>
        </w:rPr>
      </w:pPr>
      <w:r>
        <w:rPr>
          <w:rFonts w:ascii="Arial" w:hAnsi="Arial"/>
          <w:bCs/>
          <w:spacing w:val="-3"/>
          <w:sz w:val="24"/>
        </w:rPr>
        <w:t>Montevideo, 9 de abril de 2014</w:t>
      </w:r>
    </w:p>
    <w:p w:rsidR="000B5350" w:rsidRDefault="000B5350" w:rsidP="00382592">
      <w:pPr>
        <w:pStyle w:val="Piedepgina"/>
        <w:widowControl/>
        <w:spacing w:line="360" w:lineRule="auto"/>
        <w:ind w:firstLine="4253"/>
        <w:jc w:val="right"/>
        <w:rPr>
          <w:rFonts w:ascii="Arial" w:hAnsi="Arial"/>
          <w:bCs/>
          <w:spacing w:val="-3"/>
          <w:sz w:val="24"/>
        </w:rPr>
      </w:pPr>
    </w:p>
    <w:p w:rsidR="000B5350" w:rsidRDefault="000B5350" w:rsidP="00382592">
      <w:pPr>
        <w:pStyle w:val="Piedepgina"/>
        <w:widowControl/>
        <w:spacing w:line="360" w:lineRule="auto"/>
        <w:ind w:firstLine="4253"/>
        <w:jc w:val="right"/>
        <w:rPr>
          <w:lang w:val="es-ES_tradnl"/>
        </w:rPr>
      </w:pPr>
    </w:p>
    <w:p w:rsidR="000F4F89" w:rsidRDefault="000F4F89">
      <w:pPr>
        <w:tabs>
          <w:tab w:val="center" w:pos="3968"/>
        </w:tabs>
        <w:suppressAutoHyphens/>
        <w:spacing w:line="360" w:lineRule="auto"/>
        <w:jc w:val="center"/>
        <w:rPr>
          <w:spacing w:val="-3"/>
        </w:rPr>
      </w:pPr>
      <w:r>
        <w:rPr>
          <w:b/>
          <w:spacing w:val="-3"/>
        </w:rPr>
        <w:t>INFORME A LA ADMINISTRACIÓN</w:t>
      </w:r>
    </w:p>
    <w:p w:rsidR="000F4F89" w:rsidRDefault="000F4F89">
      <w:pPr>
        <w:tabs>
          <w:tab w:val="left" w:pos="0"/>
        </w:tabs>
        <w:suppressAutoHyphens/>
        <w:spacing w:line="360" w:lineRule="auto"/>
        <w:jc w:val="both"/>
        <w:rPr>
          <w:spacing w:val="-3"/>
        </w:rPr>
      </w:pPr>
    </w:p>
    <w:p w:rsidR="000F4F89" w:rsidRDefault="000F4F89" w:rsidP="000F4F89">
      <w:pPr>
        <w:tabs>
          <w:tab w:val="left" w:pos="0"/>
        </w:tabs>
        <w:suppressAutoHyphens/>
        <w:spacing w:line="360" w:lineRule="auto"/>
        <w:ind w:firstLine="851"/>
        <w:jc w:val="both"/>
        <w:rPr>
          <w:spacing w:val="-3"/>
        </w:rPr>
      </w:pPr>
      <w:r>
        <w:rPr>
          <w:spacing w:val="-3"/>
        </w:rPr>
        <w:t>El Tribunal de Cuentas ha examinado los estados financieros del ejercicio finalizado el 31 de diciembre de 2013 correspondientes al “Programa de Apoyo a la Educación Media y Técnica y a la Formación en Educación” (PAEMFE) financiado parcialmente con recursos del Contrato de Préstamo BID Nº 2480/OC-UR y ha emitido su dictamen.</w:t>
      </w:r>
    </w:p>
    <w:p w:rsidR="000F4F89" w:rsidRDefault="000F4F89" w:rsidP="000F4F89">
      <w:pPr>
        <w:tabs>
          <w:tab w:val="left" w:pos="0"/>
        </w:tabs>
        <w:suppressAutoHyphens/>
        <w:spacing w:line="360" w:lineRule="auto"/>
        <w:ind w:firstLine="851"/>
        <w:jc w:val="both"/>
        <w:rPr>
          <w:spacing w:val="-3"/>
        </w:rPr>
      </w:pPr>
      <w:r>
        <w:rPr>
          <w:spacing w:val="-3"/>
        </w:rPr>
        <w:t xml:space="preserve">Se incluyen en este capítulo del Informe comentarios referentes a la presentación de estados financieros, así como también aspectos específicos relativos a la evaluación del sistema de control interno implementado para la administración y ejecución del Programa. También incluye las recomendaciones que se considera oportuno formular. </w:t>
      </w:r>
    </w:p>
    <w:p w:rsidR="000F4F89" w:rsidRDefault="000F4F89" w:rsidP="000F4F89">
      <w:pPr>
        <w:tabs>
          <w:tab w:val="left" w:pos="0"/>
        </w:tabs>
        <w:suppressAutoHyphens/>
        <w:spacing w:line="360" w:lineRule="auto"/>
        <w:ind w:firstLine="851"/>
        <w:jc w:val="both"/>
        <w:rPr>
          <w:spacing w:val="-3"/>
        </w:rPr>
      </w:pPr>
      <w:r>
        <w:rPr>
          <w:spacing w:val="-3"/>
        </w:rPr>
        <w:t>Asimismo, se señala que el presente Informe corresponde al tercer ejercicio de ejecución del Programa de referencia.</w:t>
      </w:r>
    </w:p>
    <w:p w:rsidR="000F4F89" w:rsidRDefault="000F4F89">
      <w:pPr>
        <w:tabs>
          <w:tab w:val="left" w:pos="0"/>
        </w:tabs>
        <w:suppressAutoHyphens/>
        <w:spacing w:line="360" w:lineRule="auto"/>
        <w:jc w:val="both"/>
        <w:rPr>
          <w:spacing w:val="-3"/>
        </w:rPr>
      </w:pPr>
    </w:p>
    <w:p w:rsidR="000F4F89" w:rsidRDefault="000F4F89">
      <w:pPr>
        <w:tabs>
          <w:tab w:val="center" w:pos="3968"/>
        </w:tabs>
        <w:suppressAutoHyphens/>
        <w:spacing w:line="360" w:lineRule="auto"/>
        <w:rPr>
          <w:b/>
          <w:spacing w:val="-3"/>
          <w:lang w:val="es-ES_tradnl"/>
        </w:rPr>
      </w:pPr>
      <w:r>
        <w:rPr>
          <w:b/>
          <w:spacing w:val="-3"/>
          <w:lang w:val="es-ES_tradnl"/>
        </w:rPr>
        <w:t>3.1)     Costo y ejecución del Programa</w:t>
      </w:r>
    </w:p>
    <w:p w:rsidR="000F4F89" w:rsidRDefault="000F4F89" w:rsidP="000F4F89">
      <w:pPr>
        <w:tabs>
          <w:tab w:val="left" w:pos="0"/>
        </w:tabs>
        <w:suppressAutoHyphens/>
        <w:spacing w:line="360" w:lineRule="auto"/>
        <w:ind w:firstLine="851"/>
        <w:jc w:val="both"/>
        <w:rPr>
          <w:color w:val="000000"/>
          <w:spacing w:val="-3"/>
        </w:rPr>
      </w:pPr>
      <w:r>
        <w:rPr>
          <w:spacing w:val="-3"/>
        </w:rPr>
        <w:t xml:space="preserve">El Contrato de Préstamo que financia parcialmente el “Programa de Apoyo a la Educación Media y Técnica y a la Formación en Educación” fue suscrito el 9 de febrero de 2011 estimándose su ejecución en un plazo </w:t>
      </w:r>
      <w:r>
        <w:rPr>
          <w:color w:val="000000"/>
          <w:spacing w:val="-3"/>
        </w:rPr>
        <w:t xml:space="preserve">de 5 años. </w:t>
      </w:r>
      <w:r>
        <w:rPr>
          <w:color w:val="000000"/>
          <w:spacing w:val="-3"/>
        </w:rPr>
        <w:lastRenderedPageBreak/>
        <w:t xml:space="preserve">Inicialmente el costo total del Programa se estimó en U$S 114:500.000 de los cuales U$S 48:000.000 se financiarán con recursos del Préstamo BID y U$S66:500.000 con fondos de contrapartida local, previéndose un pari-passu de 42% BID y 58% Aporte Local. </w:t>
      </w:r>
    </w:p>
    <w:p w:rsidR="000F4F89" w:rsidRDefault="000F4F89" w:rsidP="000F4F89">
      <w:pPr>
        <w:tabs>
          <w:tab w:val="left" w:pos="0"/>
        </w:tabs>
        <w:suppressAutoHyphens/>
        <w:spacing w:line="360" w:lineRule="auto"/>
        <w:ind w:firstLine="851"/>
        <w:jc w:val="both"/>
        <w:rPr>
          <w:color w:val="000000"/>
          <w:spacing w:val="-3"/>
        </w:rPr>
      </w:pPr>
      <w:r>
        <w:rPr>
          <w:color w:val="000000"/>
          <w:spacing w:val="-3"/>
        </w:rPr>
        <w:t>No obstante, e</w:t>
      </w:r>
      <w:r w:rsidRPr="00A8751A">
        <w:rPr>
          <w:color w:val="000000"/>
          <w:spacing w:val="-3"/>
        </w:rPr>
        <w:t>n el ejercicio 2013 el CODICEN autorizó la trasposición de recursos de contrapa</w:t>
      </w:r>
      <w:r>
        <w:rPr>
          <w:color w:val="000000"/>
          <w:spacing w:val="-3"/>
        </w:rPr>
        <w:t>rtida local destinados inicialmente a otros p</w:t>
      </w:r>
      <w:r w:rsidRPr="00A8751A">
        <w:rPr>
          <w:color w:val="000000"/>
          <w:spacing w:val="-3"/>
        </w:rPr>
        <w:t xml:space="preserve">royectos para el fortalecimiento de </w:t>
      </w:r>
      <w:r>
        <w:rPr>
          <w:color w:val="000000"/>
          <w:spacing w:val="-3"/>
        </w:rPr>
        <w:t>este Programa por un importe de U$S 3.223.750 (Nota Nº1 a los Estados Financieros).</w:t>
      </w:r>
    </w:p>
    <w:p w:rsidR="000F4F89" w:rsidRDefault="000F4F89" w:rsidP="000B5350">
      <w:pPr>
        <w:tabs>
          <w:tab w:val="left" w:pos="0"/>
          <w:tab w:val="left" w:pos="851"/>
        </w:tabs>
        <w:suppressAutoHyphens/>
        <w:spacing w:line="360" w:lineRule="auto"/>
        <w:jc w:val="both"/>
        <w:rPr>
          <w:spacing w:val="-3"/>
        </w:rPr>
      </w:pPr>
      <w:r>
        <w:rPr>
          <w:color w:val="000000"/>
          <w:spacing w:val="-3"/>
        </w:rPr>
        <w:t xml:space="preserve"> </w:t>
      </w:r>
      <w:r>
        <w:rPr>
          <w:color w:val="000000"/>
          <w:spacing w:val="-3"/>
        </w:rPr>
        <w:tab/>
      </w:r>
      <w:r>
        <w:rPr>
          <w:spacing w:val="-3"/>
        </w:rPr>
        <w:t>Con la asignación de estos recursos el porcentaje de financiamiento de la contrapartida local se eleva al 59%.</w:t>
      </w:r>
    </w:p>
    <w:p w:rsidR="000F4F89" w:rsidRDefault="000F4F89" w:rsidP="000F4F89">
      <w:pPr>
        <w:tabs>
          <w:tab w:val="left" w:pos="0"/>
        </w:tabs>
        <w:suppressAutoHyphens/>
        <w:spacing w:line="360" w:lineRule="auto"/>
        <w:ind w:firstLine="851"/>
        <w:jc w:val="both"/>
        <w:rPr>
          <w:spacing w:val="-3"/>
        </w:rPr>
      </w:pPr>
      <w:r>
        <w:rPr>
          <w:spacing w:val="-3"/>
        </w:rPr>
        <w:t xml:space="preserve">De acuerdo a lo previsto en el POA, para el ejercicio 2013 se estimó realizar inversiones por un total de U$S 25:086.283, importe que si se compara con las inversiones reales llevadas a cabo de U$S 22:698.554 implica que existe una menor inversión de la prevista (10%). </w:t>
      </w:r>
    </w:p>
    <w:p w:rsidR="000F4F89" w:rsidRDefault="000F4F89">
      <w:pPr>
        <w:tabs>
          <w:tab w:val="left" w:pos="0"/>
        </w:tabs>
        <w:suppressAutoHyphens/>
        <w:spacing w:line="360" w:lineRule="auto"/>
        <w:jc w:val="both"/>
        <w:rPr>
          <w:spacing w:val="-3"/>
        </w:rPr>
      </w:pPr>
      <w:r>
        <w:rPr>
          <w:spacing w:val="-3"/>
        </w:rPr>
        <w:tab/>
      </w:r>
    </w:p>
    <w:p w:rsidR="000F4F89" w:rsidRDefault="000F4F89">
      <w:pPr>
        <w:tabs>
          <w:tab w:val="center" w:pos="3968"/>
        </w:tabs>
        <w:suppressAutoHyphens/>
        <w:spacing w:line="360" w:lineRule="auto"/>
        <w:rPr>
          <w:b/>
          <w:spacing w:val="-3"/>
          <w:lang w:val="es-ES_tradnl"/>
        </w:rPr>
      </w:pPr>
      <w:r>
        <w:rPr>
          <w:b/>
          <w:spacing w:val="-3"/>
          <w:lang w:val="es-ES_tradnl"/>
        </w:rPr>
        <w:t>3.2)     Evaluación del Sistema de Control Interno</w:t>
      </w:r>
    </w:p>
    <w:p w:rsidR="000F4F89" w:rsidRDefault="000F4F89" w:rsidP="000F4F89">
      <w:pPr>
        <w:tabs>
          <w:tab w:val="left" w:pos="0"/>
        </w:tabs>
        <w:suppressAutoHyphens/>
        <w:spacing w:line="360" w:lineRule="auto"/>
        <w:ind w:firstLine="851"/>
        <w:jc w:val="both"/>
        <w:rPr>
          <w:spacing w:val="-3"/>
        </w:rPr>
      </w:pPr>
      <w:r>
        <w:rPr>
          <w:spacing w:val="-3"/>
        </w:rPr>
        <w:t xml:space="preserve">Se ha evaluado el sistema de control interno diseñado e implementado por la Unidad Ejecutora a efectos de verificar cuál es el ambiente de control, las actividades y procedimientos implementados, los canales de información y comunicación y el monitoreo del mismo llevado a cabo por la Unidad Ejecutora. El propósito de dicha evaluación fue determinar la confiabilidad de la información contable y el cumplimiento de las disposiciones contractuales, a efectos de determinar los procedimientos de auditoría a aplicar. </w:t>
      </w:r>
    </w:p>
    <w:p w:rsidR="000F4F89" w:rsidRDefault="000F4F89">
      <w:pPr>
        <w:tabs>
          <w:tab w:val="left" w:pos="0"/>
        </w:tabs>
        <w:suppressAutoHyphens/>
        <w:spacing w:line="360" w:lineRule="auto"/>
        <w:jc w:val="both"/>
        <w:rPr>
          <w:spacing w:val="-3"/>
        </w:rPr>
      </w:pPr>
      <w:r>
        <w:rPr>
          <w:spacing w:val="-3"/>
        </w:rPr>
        <w:t>El sistema de control interno se considera adecuado.</w:t>
      </w:r>
    </w:p>
    <w:p w:rsidR="000F4F89" w:rsidRDefault="000F4F89">
      <w:pPr>
        <w:tabs>
          <w:tab w:val="left" w:pos="0"/>
        </w:tabs>
        <w:suppressAutoHyphens/>
        <w:spacing w:line="360" w:lineRule="auto"/>
        <w:jc w:val="both"/>
        <w:rPr>
          <w:spacing w:val="-3"/>
        </w:rPr>
      </w:pPr>
    </w:p>
    <w:p w:rsidR="000F4F89" w:rsidRDefault="000F4F89">
      <w:pPr>
        <w:tabs>
          <w:tab w:val="center" w:pos="3968"/>
        </w:tabs>
        <w:suppressAutoHyphens/>
        <w:spacing w:line="360" w:lineRule="auto"/>
        <w:rPr>
          <w:b/>
          <w:spacing w:val="-3"/>
          <w:lang w:val="es-ES_tradnl"/>
        </w:rPr>
      </w:pPr>
      <w:r>
        <w:rPr>
          <w:b/>
          <w:spacing w:val="-3"/>
          <w:lang w:val="es-ES_tradnl"/>
        </w:rPr>
        <w:t xml:space="preserve">3.3)     Recomendaciones del ejercicio </w:t>
      </w:r>
    </w:p>
    <w:p w:rsidR="000F4F89" w:rsidRDefault="000F4F89" w:rsidP="0040333A">
      <w:pPr>
        <w:tabs>
          <w:tab w:val="left" w:pos="0"/>
        </w:tabs>
        <w:suppressAutoHyphens/>
        <w:spacing w:line="360" w:lineRule="auto"/>
        <w:jc w:val="both"/>
        <w:rPr>
          <w:spacing w:val="-3"/>
        </w:rPr>
      </w:pPr>
      <w:r>
        <w:rPr>
          <w:spacing w:val="-3"/>
        </w:rPr>
        <w:tab/>
        <w:t>No se formulan recomendaciones para el presente ejercicio.</w:t>
      </w:r>
    </w:p>
    <w:p w:rsidR="000F4F89" w:rsidRDefault="000B5350" w:rsidP="000F4F89">
      <w:pPr>
        <w:tabs>
          <w:tab w:val="left" w:pos="0"/>
        </w:tabs>
        <w:suppressAutoHyphens/>
        <w:spacing w:line="360" w:lineRule="auto"/>
        <w:jc w:val="right"/>
        <w:rPr>
          <w:spacing w:val="-3"/>
        </w:rPr>
      </w:pPr>
      <w:r>
        <w:rPr>
          <w:spacing w:val="-3"/>
        </w:rPr>
        <w:t>Montevideo, 9 de abril de 2014</w:t>
      </w:r>
    </w:p>
    <w:p w:rsidR="00BE557C" w:rsidRPr="000F4F89" w:rsidRDefault="000F4F89" w:rsidP="000F4F89">
      <w:pPr>
        <w:tabs>
          <w:tab w:val="left" w:pos="0"/>
        </w:tabs>
        <w:suppressAutoHyphens/>
        <w:spacing w:line="360" w:lineRule="auto"/>
        <w:ind w:hanging="426"/>
      </w:pPr>
      <w:proofErr w:type="gramStart"/>
      <w:r>
        <w:rPr>
          <w:spacing w:val="-3"/>
        </w:rPr>
        <w:t>dc</w:t>
      </w:r>
      <w:proofErr w:type="gramEnd"/>
    </w:p>
    <w:sectPr w:rsidR="00BE557C" w:rsidRPr="000F4F89" w:rsidSect="00BE557C">
      <w:footerReference w:type="even" r:id="rId9"/>
      <w:footerReference w:type="default" r:id="rId10"/>
      <w:pgSz w:w="11904" w:h="16836" w:code="9"/>
      <w:pgMar w:top="3119" w:right="1701" w:bottom="1418" w:left="1701" w:header="1418" w:footer="1418"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FA" w:rsidRDefault="00EA3AFA">
      <w:r>
        <w:separator/>
      </w:r>
    </w:p>
  </w:endnote>
  <w:endnote w:type="continuationSeparator" w:id="0">
    <w:p w:rsidR="00EA3AFA" w:rsidRDefault="00EA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FA" w:rsidRDefault="00EA3A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A3AFA" w:rsidRDefault="00EA3A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FA" w:rsidRDefault="00EA3AFA">
    <w:pPr>
      <w:tabs>
        <w:tab w:val="left" w:pos="-72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FA" w:rsidRDefault="00EA3AFA">
      <w:r>
        <w:separator/>
      </w:r>
    </w:p>
  </w:footnote>
  <w:footnote w:type="continuationSeparator" w:id="0">
    <w:p w:rsidR="00EA3AFA" w:rsidRDefault="00EA3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01B76"/>
    <w:multiLevelType w:val="multilevel"/>
    <w:tmpl w:val="5D9C7E0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57700AD"/>
    <w:multiLevelType w:val="hybridMultilevel"/>
    <w:tmpl w:val="A79803EE"/>
    <w:lvl w:ilvl="0" w:tplc="0EFC14A0">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8E50E2C"/>
    <w:multiLevelType w:val="multilevel"/>
    <w:tmpl w:val="8086017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EF6"/>
    <w:rsid w:val="000040F7"/>
    <w:rsid w:val="00013AD1"/>
    <w:rsid w:val="000174A2"/>
    <w:rsid w:val="000B5350"/>
    <w:rsid w:val="000F4F89"/>
    <w:rsid w:val="00152DCE"/>
    <w:rsid w:val="00182E47"/>
    <w:rsid w:val="001B61BA"/>
    <w:rsid w:val="00206427"/>
    <w:rsid w:val="00222281"/>
    <w:rsid w:val="00224BFF"/>
    <w:rsid w:val="00251195"/>
    <w:rsid w:val="003216DC"/>
    <w:rsid w:val="00363335"/>
    <w:rsid w:val="003822A6"/>
    <w:rsid w:val="00382592"/>
    <w:rsid w:val="003913EC"/>
    <w:rsid w:val="003E392C"/>
    <w:rsid w:val="0040333A"/>
    <w:rsid w:val="00480379"/>
    <w:rsid w:val="00530DE4"/>
    <w:rsid w:val="00582A65"/>
    <w:rsid w:val="005A3F27"/>
    <w:rsid w:val="005C6B9D"/>
    <w:rsid w:val="00606F5B"/>
    <w:rsid w:val="00652543"/>
    <w:rsid w:val="006C048F"/>
    <w:rsid w:val="00701DA7"/>
    <w:rsid w:val="007A2EF6"/>
    <w:rsid w:val="00840320"/>
    <w:rsid w:val="00866F8D"/>
    <w:rsid w:val="008C6CC7"/>
    <w:rsid w:val="008E3492"/>
    <w:rsid w:val="009203E2"/>
    <w:rsid w:val="009745F4"/>
    <w:rsid w:val="00A35D83"/>
    <w:rsid w:val="00A61CAB"/>
    <w:rsid w:val="00A83B94"/>
    <w:rsid w:val="00A8751A"/>
    <w:rsid w:val="00A94C8D"/>
    <w:rsid w:val="00AF56AC"/>
    <w:rsid w:val="00B01215"/>
    <w:rsid w:val="00B23B2C"/>
    <w:rsid w:val="00BB02DE"/>
    <w:rsid w:val="00BE38FE"/>
    <w:rsid w:val="00BE557C"/>
    <w:rsid w:val="00C119CF"/>
    <w:rsid w:val="00C20910"/>
    <w:rsid w:val="00C753AF"/>
    <w:rsid w:val="00C93C31"/>
    <w:rsid w:val="00CB53DE"/>
    <w:rsid w:val="00D16DA2"/>
    <w:rsid w:val="00D60F44"/>
    <w:rsid w:val="00D72DA4"/>
    <w:rsid w:val="00D82C73"/>
    <w:rsid w:val="00DF6341"/>
    <w:rsid w:val="00E74127"/>
    <w:rsid w:val="00E7515E"/>
    <w:rsid w:val="00EA3AFA"/>
    <w:rsid w:val="00F42A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widowControl w:val="0"/>
      <w:tabs>
        <w:tab w:val="left" w:pos="720"/>
        <w:tab w:val="right" w:pos="7938"/>
      </w:tabs>
      <w:suppressAutoHyphens/>
      <w:jc w:val="right"/>
      <w:outlineLvl w:val="0"/>
    </w:pPr>
    <w:rPr>
      <w:b/>
      <w:snapToGrid w:val="0"/>
      <w:spacing w:val="-3"/>
      <w:szCs w:val="20"/>
    </w:rPr>
  </w:style>
  <w:style w:type="paragraph" w:styleId="Ttulo2">
    <w:name w:val="heading 2"/>
    <w:basedOn w:val="Normal"/>
    <w:next w:val="Normal"/>
    <w:qFormat/>
    <w:pPr>
      <w:keepNext/>
      <w:widowControl w:val="0"/>
      <w:tabs>
        <w:tab w:val="center" w:pos="3968"/>
      </w:tabs>
      <w:suppressAutoHyphens/>
      <w:jc w:val="center"/>
      <w:outlineLvl w:val="1"/>
    </w:pPr>
    <w:rPr>
      <w:b/>
      <w:snapToGrid w:val="0"/>
      <w:spacing w:val="-3"/>
      <w:szCs w:val="20"/>
    </w:rPr>
  </w:style>
  <w:style w:type="paragraph" w:styleId="Ttulo4">
    <w:name w:val="heading 4"/>
    <w:basedOn w:val="Normal"/>
    <w:next w:val="Normal"/>
    <w:qFormat/>
    <w:pPr>
      <w:keepNext/>
      <w:widowControl w:val="0"/>
      <w:tabs>
        <w:tab w:val="left" w:pos="0"/>
      </w:tabs>
      <w:suppressAutoHyphens/>
      <w:jc w:val="both"/>
      <w:outlineLvl w:val="3"/>
    </w:pPr>
    <w:rPr>
      <w:b/>
      <w:snapToGrid w:val="0"/>
      <w:spacing w:val="-3"/>
      <w:szCs w:val="20"/>
    </w:rPr>
  </w:style>
  <w:style w:type="paragraph" w:styleId="Ttulo8">
    <w:name w:val="heading 8"/>
    <w:basedOn w:val="Normal"/>
    <w:next w:val="Normal"/>
    <w:qFormat/>
    <w:pPr>
      <w:keepNext/>
      <w:jc w:val="both"/>
      <w:outlineLvl w:val="7"/>
    </w:pPr>
    <w:rPr>
      <w:rFonts w:ascii="Bookman Old Style" w:hAnsi="Bookman Old Style"/>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widowControl w:val="0"/>
      <w:tabs>
        <w:tab w:val="center" w:pos="3968"/>
      </w:tabs>
      <w:suppressAutoHyphens/>
      <w:jc w:val="both"/>
    </w:pPr>
    <w:rPr>
      <w:b/>
      <w:snapToGrid w:val="0"/>
      <w:spacing w:val="-3"/>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pPr>
    <w:rPr>
      <w:rFonts w:eastAsia="Arial Unicode MS" w:cs="Arial"/>
      <w:b/>
      <w:bCs/>
    </w:rPr>
  </w:style>
  <w:style w:type="paragraph" w:styleId="Piedepgina">
    <w:name w:val="footer"/>
    <w:basedOn w:val="Normal"/>
    <w:semiHidden/>
    <w:pPr>
      <w:widowControl w:val="0"/>
      <w:tabs>
        <w:tab w:val="center" w:pos="4252"/>
        <w:tab w:val="right" w:pos="8504"/>
      </w:tabs>
    </w:pPr>
    <w:rPr>
      <w:rFonts w:ascii="Courier" w:hAnsi="Courier"/>
      <w:snapToGrid w:val="0"/>
      <w:sz w:val="20"/>
      <w:szCs w:val="20"/>
    </w:rPr>
  </w:style>
  <w:style w:type="paragraph" w:styleId="Textoindependiente">
    <w:name w:val="Body Text"/>
    <w:basedOn w:val="Normal"/>
    <w:semiHidden/>
    <w:pPr>
      <w:widowControl w:val="0"/>
      <w:tabs>
        <w:tab w:val="left" w:pos="0"/>
      </w:tabs>
      <w:suppressAutoHyphens/>
      <w:jc w:val="both"/>
    </w:pPr>
    <w:rPr>
      <w:snapToGrid w:val="0"/>
      <w:spacing w:val="-3"/>
      <w:szCs w:val="20"/>
    </w:rPr>
  </w:style>
  <w:style w:type="paragraph" w:styleId="Encabezado">
    <w:name w:val="header"/>
    <w:basedOn w:val="Normal"/>
    <w:semiHidden/>
    <w:pPr>
      <w:widowControl w:val="0"/>
      <w:tabs>
        <w:tab w:val="center" w:pos="4252"/>
        <w:tab w:val="right" w:pos="8504"/>
      </w:tabs>
    </w:pPr>
    <w:rPr>
      <w:rFonts w:ascii="Courier" w:hAnsi="Courier"/>
      <w:snapToGrid w:val="0"/>
      <w:sz w:val="20"/>
      <w:szCs w:val="20"/>
    </w:rPr>
  </w:style>
  <w:style w:type="character" w:styleId="Nmerodepgina">
    <w:name w:val="page number"/>
    <w:semiHidden/>
  </w:style>
  <w:style w:type="paragraph" w:styleId="Textodeglobo">
    <w:name w:val="Balloon Text"/>
    <w:basedOn w:val="Normal"/>
    <w:link w:val="TextodegloboCar"/>
    <w:uiPriority w:val="99"/>
    <w:semiHidden/>
    <w:unhideWhenUsed/>
    <w:rsid w:val="007A2EF6"/>
    <w:rPr>
      <w:rFonts w:ascii="Tahoma" w:hAnsi="Tahoma" w:cs="Tahoma"/>
      <w:sz w:val="16"/>
      <w:szCs w:val="16"/>
    </w:rPr>
  </w:style>
  <w:style w:type="character" w:customStyle="1" w:styleId="TextodegloboCar">
    <w:name w:val="Texto de globo Car"/>
    <w:link w:val="Textodeglobo"/>
    <w:uiPriority w:val="99"/>
    <w:semiHidden/>
    <w:rsid w:val="007A2EF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E207-65DC-4B58-8B1D-FBBAE332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1856</Words>
  <Characters>10210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INFORME DE AUDITORÍA</vt:lpstr>
    </vt:vector>
  </TitlesOfParts>
  <Company>Tribunal de Cuentas</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dc:title>
  <dc:subject/>
  <dc:creator>DEPTO2</dc:creator>
  <cp:keywords/>
  <dc:description/>
  <cp:lastModifiedBy> </cp:lastModifiedBy>
  <cp:revision>3</cp:revision>
  <cp:lastPrinted>2014-04-30T18:02:00Z</cp:lastPrinted>
  <dcterms:created xsi:type="dcterms:W3CDTF">2014-04-30T18:03:00Z</dcterms:created>
  <dcterms:modified xsi:type="dcterms:W3CDTF">2014-05-27T21:26:00Z</dcterms:modified>
</cp:coreProperties>
</file>