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8DB" w:rsidRPr="002158DB" w:rsidRDefault="002158DB" w:rsidP="002158D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2158DB">
        <w:rPr>
          <w:rFonts w:ascii="Arial" w:hAnsi="Arial" w:cs="Arial"/>
          <w:b/>
          <w:lang w:val="es-ES_tradnl"/>
        </w:rPr>
        <w:t>RESOLUCION ADOPTADA POR EL</w:t>
      </w:r>
    </w:p>
    <w:p w:rsidR="002158DB" w:rsidRPr="002158DB" w:rsidRDefault="002158DB" w:rsidP="002158DB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2158DB" w:rsidRPr="002158DB" w:rsidRDefault="002158DB" w:rsidP="002158D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2158DB">
        <w:rPr>
          <w:rFonts w:ascii="Arial" w:hAnsi="Arial" w:cs="Arial"/>
          <w:b/>
          <w:lang w:val="es-ES_tradnl"/>
        </w:rPr>
        <w:t>TRIBUNAL DE CUENTAS</w:t>
      </w:r>
    </w:p>
    <w:p w:rsidR="002158DB" w:rsidRPr="002158DB" w:rsidRDefault="002158DB" w:rsidP="002158DB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2158DB" w:rsidRPr="002158DB" w:rsidRDefault="002158DB" w:rsidP="002158D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2158DB">
        <w:rPr>
          <w:rFonts w:ascii="Arial" w:hAnsi="Arial" w:cs="Arial"/>
          <w:b/>
          <w:lang w:val="es-ES_tradnl"/>
        </w:rPr>
        <w:t>EN SESION DE FECHA 6 DE MARZO DE 2014</w:t>
      </w:r>
    </w:p>
    <w:p w:rsidR="002158DB" w:rsidRPr="002158DB" w:rsidRDefault="002158DB" w:rsidP="002158D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2158DB" w:rsidRPr="00CE4F93" w:rsidRDefault="002158DB" w:rsidP="002158D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CE4F93">
        <w:rPr>
          <w:rFonts w:ascii="Arial" w:hAnsi="Arial" w:cs="Arial"/>
          <w:b/>
          <w:lang w:val="es-UY"/>
        </w:rPr>
        <w:t xml:space="preserve">(E. E. Nº 2014-17-1-0001309, </w:t>
      </w:r>
      <w:proofErr w:type="spellStart"/>
      <w:r w:rsidRPr="00CE4F93">
        <w:rPr>
          <w:rFonts w:ascii="Arial" w:hAnsi="Arial" w:cs="Arial"/>
          <w:b/>
          <w:lang w:val="es-UY"/>
        </w:rPr>
        <w:t>Ent</w:t>
      </w:r>
      <w:proofErr w:type="spellEnd"/>
      <w:r w:rsidRPr="00CE4F93">
        <w:rPr>
          <w:rFonts w:ascii="Arial" w:hAnsi="Arial" w:cs="Arial"/>
          <w:b/>
          <w:lang w:val="es-UY"/>
        </w:rPr>
        <w:t>. N° 939/14)</w:t>
      </w:r>
    </w:p>
    <w:p w:rsidR="004227D3" w:rsidRDefault="004227D3"/>
    <w:p w:rsidR="002158DB" w:rsidRDefault="004227D3" w:rsidP="002158DB">
      <w:pPr>
        <w:spacing w:before="120"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F40ED6">
        <w:rPr>
          <w:rFonts w:ascii="Arial" w:hAnsi="Arial"/>
        </w:rPr>
        <w:t>0</w:t>
      </w:r>
      <w:r w:rsidR="000A2DB7">
        <w:rPr>
          <w:rFonts w:ascii="Arial" w:hAnsi="Arial"/>
        </w:rPr>
        <w:t>7</w:t>
      </w:r>
      <w:r>
        <w:rPr>
          <w:rFonts w:ascii="Arial" w:hAnsi="Arial"/>
        </w:rPr>
        <w:t xml:space="preserve"> de </w:t>
      </w:r>
      <w:r w:rsidR="000A2DB7">
        <w:rPr>
          <w:rFonts w:ascii="Arial" w:hAnsi="Arial"/>
        </w:rPr>
        <w:t>febrero</w:t>
      </w:r>
      <w:r>
        <w:rPr>
          <w:rFonts w:ascii="Arial" w:hAnsi="Arial"/>
        </w:rPr>
        <w:t xml:space="preserve"> de 201</w:t>
      </w:r>
      <w:r w:rsidR="000A2DB7">
        <w:rPr>
          <w:rFonts w:ascii="Arial" w:hAnsi="Arial"/>
        </w:rPr>
        <w:t>4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</w:t>
      </w:r>
      <w:r w:rsidR="0086584C">
        <w:rPr>
          <w:rFonts w:ascii="Arial" w:hAnsi="Arial"/>
        </w:rPr>
        <w:t>el</w:t>
      </w:r>
      <w:r>
        <w:rPr>
          <w:rFonts w:ascii="Arial" w:hAnsi="Arial"/>
        </w:rPr>
        <w:t xml:space="preserve"> Contador Delegado en el Municipio de </w:t>
      </w:r>
      <w:r w:rsidR="00A83F5B">
        <w:rPr>
          <w:rFonts w:ascii="Arial" w:hAnsi="Arial"/>
        </w:rPr>
        <w:t>Bella Unión</w:t>
      </w:r>
      <w:r>
        <w:rPr>
          <w:rFonts w:ascii="Arial" w:hAnsi="Arial"/>
        </w:rPr>
        <w:t>, de la Intendencia de Artigas, relacionada con la reiteración de gasto</w:t>
      </w:r>
      <w:r w:rsidR="0086584C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6584C">
        <w:rPr>
          <w:rFonts w:ascii="Arial" w:hAnsi="Arial"/>
        </w:rPr>
        <w:t>s</w:t>
      </w:r>
      <w:r>
        <w:rPr>
          <w:rFonts w:ascii="Arial" w:hAnsi="Arial"/>
        </w:rPr>
        <w:t xml:space="preserve"> en l</w:t>
      </w:r>
      <w:r w:rsidR="00A83F5B">
        <w:rPr>
          <w:rFonts w:ascii="Arial" w:hAnsi="Arial"/>
        </w:rPr>
        <w:t>os</w:t>
      </w:r>
      <w:r>
        <w:rPr>
          <w:rFonts w:ascii="Arial" w:hAnsi="Arial"/>
        </w:rPr>
        <w:t xml:space="preserve"> mes</w:t>
      </w:r>
      <w:r w:rsidR="00A83F5B">
        <w:rPr>
          <w:rFonts w:ascii="Arial" w:hAnsi="Arial"/>
        </w:rPr>
        <w:t>es</w:t>
      </w:r>
      <w:r w:rsidR="00406F08">
        <w:rPr>
          <w:rFonts w:ascii="Arial" w:hAnsi="Arial"/>
        </w:rPr>
        <w:t xml:space="preserve"> </w:t>
      </w:r>
      <w:r w:rsidR="003038A1">
        <w:rPr>
          <w:rFonts w:ascii="Arial" w:hAnsi="Arial"/>
        </w:rPr>
        <w:t xml:space="preserve">de </w:t>
      </w:r>
      <w:r w:rsidR="009026CD">
        <w:rPr>
          <w:rFonts w:ascii="Arial" w:hAnsi="Arial"/>
        </w:rPr>
        <w:t>noviembre</w:t>
      </w:r>
      <w:r w:rsidR="000A2DB7">
        <w:rPr>
          <w:rFonts w:ascii="Arial" w:hAnsi="Arial"/>
        </w:rPr>
        <w:t xml:space="preserve"> y diciembre</w:t>
      </w:r>
      <w:r w:rsidR="00977D45">
        <w:rPr>
          <w:rFonts w:ascii="Arial" w:hAnsi="Arial"/>
        </w:rPr>
        <w:t xml:space="preserve"> </w:t>
      </w:r>
      <w:r>
        <w:rPr>
          <w:rFonts w:ascii="Arial" w:hAnsi="Arial"/>
        </w:rPr>
        <w:t xml:space="preserve">de </w:t>
      </w:r>
      <w:r w:rsidR="0086584C">
        <w:rPr>
          <w:rFonts w:ascii="Arial" w:hAnsi="Arial"/>
        </w:rPr>
        <w:t>2</w:t>
      </w:r>
      <w:r>
        <w:rPr>
          <w:rFonts w:ascii="Arial" w:hAnsi="Arial"/>
        </w:rPr>
        <w:t>01</w:t>
      </w:r>
      <w:r w:rsidR="0086584C">
        <w:rPr>
          <w:rFonts w:ascii="Arial" w:hAnsi="Arial"/>
        </w:rPr>
        <w:t>3</w:t>
      </w:r>
      <w:r>
        <w:rPr>
          <w:rFonts w:ascii="Arial" w:hAnsi="Arial"/>
          <w:lang w:val="es-MX"/>
        </w:rPr>
        <w:t>;</w:t>
      </w:r>
    </w:p>
    <w:p w:rsidR="004227D3" w:rsidRDefault="004227D3" w:rsidP="002158DB">
      <w:pPr>
        <w:spacing w:before="120"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 xml:space="preserve">que el Contador Delegado observó </w:t>
      </w:r>
      <w:r w:rsidR="000A2DB7">
        <w:rPr>
          <w:rFonts w:ascii="Arial" w:hAnsi="Arial"/>
          <w:lang w:val="es-MX"/>
        </w:rPr>
        <w:t>13</w:t>
      </w:r>
      <w:r>
        <w:rPr>
          <w:rFonts w:ascii="Arial" w:hAnsi="Arial"/>
          <w:lang w:val="es-MX"/>
        </w:rPr>
        <w:t xml:space="preserve"> gasto</w:t>
      </w:r>
      <w:r w:rsidR="0086584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</w:t>
      </w:r>
      <w:r w:rsidR="00F07BC8">
        <w:rPr>
          <w:rFonts w:ascii="Arial" w:hAnsi="Arial"/>
          <w:lang w:val="es-MX"/>
        </w:rPr>
        <w:t xml:space="preserve">en </w:t>
      </w:r>
      <w:r w:rsidR="00977D45">
        <w:rPr>
          <w:rFonts w:ascii="Arial" w:hAnsi="Arial"/>
          <w:lang w:val="es-MX"/>
        </w:rPr>
        <w:t>e</w:t>
      </w:r>
      <w:r w:rsidR="00F07BC8">
        <w:rPr>
          <w:rFonts w:ascii="Arial" w:hAnsi="Arial"/>
          <w:lang w:val="es-MX"/>
        </w:rPr>
        <w:t xml:space="preserve">l mes de </w:t>
      </w:r>
      <w:r w:rsidR="000A2DB7">
        <w:rPr>
          <w:rFonts w:ascii="Arial" w:hAnsi="Arial"/>
          <w:lang w:val="es-MX"/>
        </w:rPr>
        <w:t>octubre</w:t>
      </w:r>
      <w:r w:rsidR="00F07BC8">
        <w:rPr>
          <w:rFonts w:ascii="Arial" w:hAnsi="Arial"/>
          <w:lang w:val="es-MX"/>
        </w:rPr>
        <w:t xml:space="preserve"> de 2013 </w:t>
      </w:r>
      <w:r>
        <w:rPr>
          <w:rFonts w:ascii="Arial" w:hAnsi="Arial"/>
          <w:lang w:val="es-MX"/>
        </w:rPr>
        <w:t xml:space="preserve">por </w:t>
      </w:r>
      <w:r w:rsidR="00F07BC8">
        <w:rPr>
          <w:rFonts w:ascii="Arial" w:hAnsi="Arial"/>
          <w:lang w:val="es-MX"/>
        </w:rPr>
        <w:t xml:space="preserve">un importe </w:t>
      </w:r>
      <w:r>
        <w:rPr>
          <w:rFonts w:ascii="Arial" w:hAnsi="Arial"/>
          <w:lang w:val="es-MX"/>
        </w:rPr>
        <w:t xml:space="preserve">$ </w:t>
      </w:r>
      <w:r w:rsidR="000A2DB7">
        <w:rPr>
          <w:rFonts w:ascii="Arial" w:hAnsi="Arial"/>
          <w:lang w:val="es-MX"/>
        </w:rPr>
        <w:t>949.782</w:t>
      </w:r>
      <w:r>
        <w:rPr>
          <w:rFonts w:ascii="Arial" w:hAnsi="Arial"/>
          <w:lang w:val="es-MX"/>
        </w:rPr>
        <w:t xml:space="preserve"> </w:t>
      </w:r>
      <w:r w:rsidR="00F07BC8">
        <w:rPr>
          <w:rFonts w:ascii="Arial" w:hAnsi="Arial"/>
          <w:lang w:val="es-MX"/>
        </w:rPr>
        <w:t xml:space="preserve">por </w:t>
      </w:r>
      <w:r w:rsidR="003038A1">
        <w:rPr>
          <w:rFonts w:ascii="Arial" w:hAnsi="Arial"/>
          <w:lang w:val="es-MX"/>
        </w:rPr>
        <w:t>los siguientes motivos</w:t>
      </w:r>
      <w:r w:rsidR="00977D45">
        <w:rPr>
          <w:rFonts w:ascii="Arial" w:hAnsi="Arial"/>
          <w:lang w:val="es-MX"/>
        </w:rPr>
        <w:t>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1"/>
        <w:gridCol w:w="1243"/>
        <w:gridCol w:w="1097"/>
      </w:tblGrid>
      <w:tr w:rsidR="003038A1" w:rsidRPr="00CE4F93" w:rsidTr="00974FB6">
        <w:tc>
          <w:tcPr>
            <w:tcW w:w="0" w:type="auto"/>
            <w:shd w:val="clear" w:color="auto" w:fill="auto"/>
          </w:tcPr>
          <w:p w:rsidR="003038A1" w:rsidRPr="00CE4F93" w:rsidRDefault="003038A1" w:rsidP="00974FB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CE4F93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0" w:type="auto"/>
            <w:shd w:val="clear" w:color="auto" w:fill="auto"/>
          </w:tcPr>
          <w:p w:rsidR="003038A1" w:rsidRPr="00CE4F93" w:rsidRDefault="003038A1" w:rsidP="00974FB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CE4F93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0" w:type="auto"/>
            <w:shd w:val="clear" w:color="auto" w:fill="auto"/>
          </w:tcPr>
          <w:p w:rsidR="003038A1" w:rsidRPr="00CE4F93" w:rsidRDefault="003038A1" w:rsidP="00974FB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CE4F93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3038A1" w:rsidRPr="00974FB6" w:rsidTr="00974FB6">
        <w:tc>
          <w:tcPr>
            <w:tcW w:w="0" w:type="auto"/>
            <w:shd w:val="clear" w:color="auto" w:fill="auto"/>
          </w:tcPr>
          <w:p w:rsidR="003038A1" w:rsidRPr="00974FB6" w:rsidRDefault="005E2E1F" w:rsidP="000A2DB7">
            <w:pPr>
              <w:spacing w:after="120"/>
              <w:rPr>
                <w:rFonts w:ascii="Arial" w:hAnsi="Arial"/>
                <w:lang w:val="es-MX"/>
              </w:rPr>
            </w:pPr>
            <w:r w:rsidRPr="00974FB6">
              <w:rPr>
                <w:rFonts w:ascii="Arial" w:hAnsi="Arial"/>
                <w:lang w:val="es-MX"/>
              </w:rPr>
              <w:t>Por incumplimiento del art. 1</w:t>
            </w:r>
            <w:r w:rsidR="000A2DB7">
              <w:rPr>
                <w:rFonts w:ascii="Arial" w:hAnsi="Arial"/>
                <w:lang w:val="es-MX"/>
              </w:rPr>
              <w:t>4</w:t>
            </w:r>
            <w:r w:rsidRPr="00974FB6"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0" w:type="auto"/>
            <w:shd w:val="clear" w:color="auto" w:fill="auto"/>
          </w:tcPr>
          <w:p w:rsidR="003038A1" w:rsidRPr="00974FB6" w:rsidRDefault="000A2DB7" w:rsidP="00974F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038A1" w:rsidRPr="00974FB6" w:rsidRDefault="000A2DB7" w:rsidP="00974F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64.934</w:t>
            </w:r>
          </w:p>
        </w:tc>
      </w:tr>
      <w:tr w:rsidR="003038A1" w:rsidRPr="00974FB6" w:rsidTr="00974FB6">
        <w:tc>
          <w:tcPr>
            <w:tcW w:w="0" w:type="auto"/>
            <w:shd w:val="clear" w:color="auto" w:fill="auto"/>
          </w:tcPr>
          <w:p w:rsidR="003038A1" w:rsidRPr="00974FB6" w:rsidRDefault="005E2E1F" w:rsidP="000A2DB7">
            <w:pPr>
              <w:spacing w:after="120"/>
              <w:rPr>
                <w:rFonts w:ascii="Arial" w:hAnsi="Arial"/>
                <w:lang w:val="es-MX"/>
              </w:rPr>
            </w:pPr>
            <w:r w:rsidRPr="00974FB6">
              <w:rPr>
                <w:rFonts w:ascii="Arial" w:hAnsi="Arial"/>
                <w:lang w:val="es-MX"/>
              </w:rPr>
              <w:t xml:space="preserve">Por incumplimiento del art. </w:t>
            </w:r>
            <w:r w:rsidR="000A2DB7">
              <w:rPr>
                <w:rFonts w:ascii="Arial" w:hAnsi="Arial"/>
                <w:lang w:val="es-MX"/>
              </w:rPr>
              <w:t>15</w:t>
            </w:r>
            <w:r w:rsidRPr="00974FB6"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0" w:type="auto"/>
            <w:shd w:val="clear" w:color="auto" w:fill="auto"/>
          </w:tcPr>
          <w:p w:rsidR="003038A1" w:rsidRPr="00974FB6" w:rsidRDefault="000A2DB7" w:rsidP="00974F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3038A1" w:rsidRPr="00974FB6" w:rsidRDefault="000A2DB7" w:rsidP="00974F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121.786</w:t>
            </w:r>
          </w:p>
        </w:tc>
      </w:tr>
      <w:tr w:rsidR="000A2DB7" w:rsidRPr="00974FB6" w:rsidTr="00974FB6">
        <w:tc>
          <w:tcPr>
            <w:tcW w:w="0" w:type="auto"/>
            <w:shd w:val="clear" w:color="auto" w:fill="auto"/>
          </w:tcPr>
          <w:p w:rsidR="000A2DB7" w:rsidRPr="00974FB6" w:rsidRDefault="000A2DB7" w:rsidP="000A2DB7">
            <w:pPr>
              <w:spacing w:after="120"/>
              <w:rPr>
                <w:rFonts w:ascii="Arial" w:hAnsi="Arial"/>
                <w:lang w:val="es-MX"/>
              </w:rPr>
            </w:pPr>
            <w:r w:rsidRPr="00974FB6">
              <w:rPr>
                <w:rFonts w:ascii="Arial" w:hAnsi="Arial"/>
                <w:lang w:val="es-MX"/>
              </w:rPr>
              <w:t xml:space="preserve">Por incumplimiento del art. </w:t>
            </w:r>
            <w:r>
              <w:rPr>
                <w:rFonts w:ascii="Arial" w:hAnsi="Arial"/>
                <w:lang w:val="es-MX"/>
              </w:rPr>
              <w:t>21</w:t>
            </w:r>
            <w:r w:rsidRPr="00974FB6"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0" w:type="auto"/>
            <w:shd w:val="clear" w:color="auto" w:fill="auto"/>
          </w:tcPr>
          <w:p w:rsidR="000A2DB7" w:rsidRDefault="000A2DB7" w:rsidP="00974F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A2DB7" w:rsidRDefault="000A2DB7" w:rsidP="00974F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293.786</w:t>
            </w:r>
          </w:p>
        </w:tc>
      </w:tr>
      <w:tr w:rsidR="000A2DB7" w:rsidRPr="00974FB6" w:rsidTr="00974FB6">
        <w:tc>
          <w:tcPr>
            <w:tcW w:w="0" w:type="auto"/>
            <w:shd w:val="clear" w:color="auto" w:fill="auto"/>
          </w:tcPr>
          <w:p w:rsidR="000A2DB7" w:rsidRPr="00974FB6" w:rsidRDefault="000A2DB7" w:rsidP="000A2DB7">
            <w:pPr>
              <w:spacing w:after="120"/>
              <w:rPr>
                <w:rFonts w:ascii="Arial" w:hAnsi="Arial"/>
                <w:lang w:val="es-MX"/>
              </w:rPr>
            </w:pPr>
            <w:r w:rsidRPr="00974FB6">
              <w:rPr>
                <w:rFonts w:ascii="Arial" w:hAnsi="Arial"/>
                <w:lang w:val="es-MX"/>
              </w:rPr>
              <w:t xml:space="preserve">Por incumplimiento del art. </w:t>
            </w:r>
            <w:r>
              <w:rPr>
                <w:rFonts w:ascii="Arial" w:hAnsi="Arial"/>
                <w:lang w:val="es-MX"/>
              </w:rPr>
              <w:t>86</w:t>
            </w:r>
            <w:r w:rsidRPr="00974FB6">
              <w:rPr>
                <w:rFonts w:ascii="Arial" w:hAnsi="Arial"/>
                <w:lang w:val="es-MX"/>
              </w:rPr>
              <w:t xml:space="preserve"> de</w:t>
            </w:r>
            <w:r>
              <w:rPr>
                <w:rFonts w:ascii="Arial" w:hAnsi="Arial"/>
                <w:lang w:val="es-MX"/>
              </w:rPr>
              <w:t xml:space="preserve"> la Constitución de la República</w:t>
            </w:r>
          </w:p>
        </w:tc>
        <w:tc>
          <w:tcPr>
            <w:tcW w:w="0" w:type="auto"/>
            <w:shd w:val="clear" w:color="auto" w:fill="auto"/>
          </w:tcPr>
          <w:p w:rsidR="000A2DB7" w:rsidRDefault="000A2DB7" w:rsidP="00974F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A2DB7" w:rsidRDefault="000A2DB7" w:rsidP="00974F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469.186</w:t>
            </w:r>
          </w:p>
        </w:tc>
      </w:tr>
      <w:tr w:rsidR="003038A1" w:rsidRPr="00CE4F93" w:rsidTr="00974FB6">
        <w:tc>
          <w:tcPr>
            <w:tcW w:w="0" w:type="auto"/>
            <w:shd w:val="clear" w:color="auto" w:fill="auto"/>
          </w:tcPr>
          <w:p w:rsidR="003038A1" w:rsidRPr="00CE4F93" w:rsidRDefault="005E2E1F" w:rsidP="00974FB6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CE4F93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3038A1" w:rsidRPr="00CE4F93" w:rsidRDefault="000A2DB7" w:rsidP="00901A2E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CE4F93">
              <w:rPr>
                <w:rFonts w:ascii="Arial" w:hAnsi="Arial"/>
                <w:b/>
                <w:lang w:val="es-MX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3038A1" w:rsidRPr="00CE4F93" w:rsidRDefault="000A2DB7" w:rsidP="00B62D5C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CE4F93">
              <w:rPr>
                <w:rFonts w:ascii="Arial" w:hAnsi="Arial"/>
                <w:b/>
                <w:lang w:val="es-MX"/>
              </w:rPr>
              <w:t>949.782</w:t>
            </w:r>
          </w:p>
        </w:tc>
      </w:tr>
    </w:tbl>
    <w:p w:rsidR="004227D3" w:rsidRDefault="004227D3" w:rsidP="00CE4F93">
      <w:pPr>
        <w:spacing w:after="120"/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</w:t>
      </w:r>
      <w:r w:rsidR="0002107C">
        <w:rPr>
          <w:rFonts w:ascii="Arial" w:hAnsi="Arial"/>
          <w:spacing w:val="-3"/>
          <w:lang w:val="es-ES_tradnl"/>
        </w:rPr>
        <w:t>s</w:t>
      </w:r>
      <w:r w:rsidR="002158DB">
        <w:rPr>
          <w:rFonts w:ascii="Arial" w:hAnsi="Arial"/>
          <w:spacing w:val="-3"/>
          <w:lang w:val="es-ES_tradnl"/>
        </w:rPr>
        <w:t xml:space="preserve"> R</w:t>
      </w:r>
      <w:r>
        <w:rPr>
          <w:rFonts w:ascii="Arial" w:hAnsi="Arial"/>
          <w:spacing w:val="-3"/>
          <w:lang w:val="es-ES_tradnl"/>
        </w:rPr>
        <w:t>esoluci</w:t>
      </w:r>
      <w:r w:rsidR="0002107C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2107C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se establecen los fundamentos de la misma;</w:t>
      </w:r>
    </w:p>
    <w:p w:rsidR="004227D3" w:rsidRDefault="004227D3" w:rsidP="002158DB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 w:rsidR="002158DB">
        <w:rPr>
          <w:rFonts w:ascii="Arial" w:hAnsi="Arial"/>
          <w:lang w:val="es-MX"/>
        </w:rPr>
        <w:t>que el Artículo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2158DB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2158DB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2158DB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pago;</w:t>
      </w:r>
    </w:p>
    <w:p w:rsidR="004227D3" w:rsidRDefault="004227D3" w:rsidP="00CE4F93">
      <w:pPr>
        <w:ind w:firstLine="2977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lastRenderedPageBreak/>
        <w:t>2)</w:t>
      </w:r>
      <w:r>
        <w:rPr>
          <w:rFonts w:ascii="Arial" w:hAnsi="Arial"/>
          <w:spacing w:val="-3"/>
          <w:lang w:val="es-ES_tradnl"/>
        </w:rPr>
        <w:t xml:space="preserve"> que los fundamentos expuestos en la</w:t>
      </w:r>
      <w:r w:rsidR="0002107C">
        <w:rPr>
          <w:rFonts w:ascii="Arial" w:hAnsi="Arial"/>
          <w:spacing w:val="-3"/>
          <w:lang w:val="es-ES_tradnl"/>
        </w:rPr>
        <w:t>s</w:t>
      </w:r>
      <w:r w:rsidR="002158DB">
        <w:rPr>
          <w:rFonts w:ascii="Arial" w:hAnsi="Arial"/>
          <w:spacing w:val="-3"/>
          <w:lang w:val="es-ES_tradnl"/>
        </w:rPr>
        <w:t xml:space="preserve"> R</w:t>
      </w:r>
      <w:r>
        <w:rPr>
          <w:rFonts w:ascii="Arial" w:hAnsi="Arial"/>
          <w:spacing w:val="-3"/>
          <w:lang w:val="es-ES_tradnl"/>
        </w:rPr>
        <w:t>esoluci</w:t>
      </w:r>
      <w:r w:rsidR="0002107C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2107C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ameritan el levantamiento de la</w:t>
      </w:r>
      <w:r w:rsidR="0002107C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02107C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2107C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;</w:t>
      </w:r>
    </w:p>
    <w:p w:rsidR="004227D3" w:rsidRDefault="004227D3" w:rsidP="002158DB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2158DB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2158DB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4227D3" w:rsidRDefault="004227D3">
      <w:pPr>
        <w:pStyle w:val="Ttulo6"/>
        <w:tabs>
          <w:tab w:val="center" w:pos="4218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>EL TRIBUNAL ACUERDA</w:t>
      </w:r>
    </w:p>
    <w:p w:rsidR="004227D3" w:rsidRDefault="004227D3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02107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02107C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02107C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02107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el Municipio de </w:t>
      </w:r>
      <w:r w:rsidR="002158DB">
        <w:rPr>
          <w:rFonts w:ascii="Arial" w:hAnsi="Arial"/>
          <w:lang w:val="es-MX"/>
        </w:rPr>
        <w:t>Bella Unió</w:t>
      </w:r>
      <w:r w:rsidR="00734D94">
        <w:rPr>
          <w:rFonts w:ascii="Arial" w:hAnsi="Arial"/>
          <w:lang w:val="es-MX"/>
        </w:rPr>
        <w:t>n</w:t>
      </w:r>
      <w:r>
        <w:rPr>
          <w:rFonts w:ascii="Arial" w:hAnsi="Arial"/>
          <w:lang w:val="es-MX"/>
        </w:rPr>
        <w:t>, de la Intendencia de Artigas</w:t>
      </w:r>
      <w:r>
        <w:rPr>
          <w:rFonts w:ascii="Arial" w:hAnsi="Arial"/>
        </w:rPr>
        <w:t>;</w:t>
      </w:r>
    </w:p>
    <w:p w:rsidR="004227D3" w:rsidRDefault="004227D3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Dar cuenta a la Junta Departamental de Artigas;</w:t>
      </w:r>
    </w:p>
    <w:p w:rsidR="004227D3" w:rsidRDefault="004227D3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Comunicar esta Resolución a la Intendencia de Artigas, al Municipio de </w:t>
      </w:r>
      <w:r w:rsidR="00734D94">
        <w:rPr>
          <w:rFonts w:ascii="Arial" w:hAnsi="Arial"/>
          <w:lang w:val="es-MX"/>
        </w:rPr>
        <w:t>Bella Unión</w:t>
      </w:r>
      <w:r w:rsidR="00023C5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y al Contador Delegado.</w:t>
      </w:r>
    </w:p>
    <w:p w:rsidR="002158DB" w:rsidRDefault="002158DB" w:rsidP="002158DB">
      <w:pPr>
        <w:rPr>
          <w:rFonts w:ascii="Arial" w:hAnsi="Arial"/>
          <w:lang w:val="es-MX"/>
        </w:rPr>
      </w:pPr>
      <w:proofErr w:type="gramStart"/>
      <w:r>
        <w:rPr>
          <w:rFonts w:ascii="Arial" w:hAnsi="Arial"/>
          <w:lang w:val="es-MX"/>
        </w:rPr>
        <w:t>dc</w:t>
      </w:r>
      <w:proofErr w:type="gramEnd"/>
    </w:p>
    <w:sectPr w:rsidR="002158DB" w:rsidSect="002158DB">
      <w:pgSz w:w="11907" w:h="16840" w:code="9"/>
      <w:pgMar w:top="311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6CD" w:rsidRDefault="009026CD">
      <w:pPr>
        <w:spacing w:line="240" w:lineRule="auto"/>
      </w:pPr>
      <w:r>
        <w:separator/>
      </w:r>
    </w:p>
  </w:endnote>
  <w:endnote w:type="continuationSeparator" w:id="0">
    <w:p w:rsidR="009026CD" w:rsidRDefault="009026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6CD" w:rsidRDefault="009026CD">
      <w:pPr>
        <w:spacing w:line="240" w:lineRule="auto"/>
      </w:pPr>
      <w:r>
        <w:separator/>
      </w:r>
    </w:p>
  </w:footnote>
  <w:footnote w:type="continuationSeparator" w:id="0">
    <w:p w:rsidR="009026CD" w:rsidRDefault="009026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225"/>
    <w:rsid w:val="0002107C"/>
    <w:rsid w:val="00023C5B"/>
    <w:rsid w:val="000A2DB7"/>
    <w:rsid w:val="000E48A2"/>
    <w:rsid w:val="00124225"/>
    <w:rsid w:val="001738FB"/>
    <w:rsid w:val="002158DB"/>
    <w:rsid w:val="002F40FF"/>
    <w:rsid w:val="003038A1"/>
    <w:rsid w:val="00327310"/>
    <w:rsid w:val="0033513D"/>
    <w:rsid w:val="003A4592"/>
    <w:rsid w:val="00406F08"/>
    <w:rsid w:val="004227D3"/>
    <w:rsid w:val="004358C8"/>
    <w:rsid w:val="004A0126"/>
    <w:rsid w:val="004B7EE1"/>
    <w:rsid w:val="0055460E"/>
    <w:rsid w:val="005E2E1F"/>
    <w:rsid w:val="0062590D"/>
    <w:rsid w:val="006B1CFB"/>
    <w:rsid w:val="006B6457"/>
    <w:rsid w:val="006D4A2C"/>
    <w:rsid w:val="00734D94"/>
    <w:rsid w:val="00785704"/>
    <w:rsid w:val="007C0BBE"/>
    <w:rsid w:val="007D2716"/>
    <w:rsid w:val="0081405D"/>
    <w:rsid w:val="00824E2C"/>
    <w:rsid w:val="00845476"/>
    <w:rsid w:val="0086584C"/>
    <w:rsid w:val="008D7BBE"/>
    <w:rsid w:val="008F64C5"/>
    <w:rsid w:val="00901A2E"/>
    <w:rsid w:val="009026CD"/>
    <w:rsid w:val="00955AC7"/>
    <w:rsid w:val="00974FB6"/>
    <w:rsid w:val="00977D45"/>
    <w:rsid w:val="00986A35"/>
    <w:rsid w:val="009B699D"/>
    <w:rsid w:val="00A31D68"/>
    <w:rsid w:val="00A522BD"/>
    <w:rsid w:val="00A83F5B"/>
    <w:rsid w:val="00AC4B05"/>
    <w:rsid w:val="00AD685B"/>
    <w:rsid w:val="00B06666"/>
    <w:rsid w:val="00B2257E"/>
    <w:rsid w:val="00B459E2"/>
    <w:rsid w:val="00B62D5C"/>
    <w:rsid w:val="00B9776F"/>
    <w:rsid w:val="00BA36D9"/>
    <w:rsid w:val="00BC4F94"/>
    <w:rsid w:val="00BF3FF7"/>
    <w:rsid w:val="00C5114A"/>
    <w:rsid w:val="00C56C39"/>
    <w:rsid w:val="00C57C3B"/>
    <w:rsid w:val="00CE4F93"/>
    <w:rsid w:val="00D048F8"/>
    <w:rsid w:val="00D2179A"/>
    <w:rsid w:val="00D64A30"/>
    <w:rsid w:val="00E65305"/>
    <w:rsid w:val="00EE278B"/>
    <w:rsid w:val="00F07BC8"/>
    <w:rsid w:val="00F10FD4"/>
    <w:rsid w:val="00F40ED6"/>
    <w:rsid w:val="00F43117"/>
    <w:rsid w:val="00F6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F07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3</cp:revision>
  <cp:lastPrinted>2012-03-12T19:38:00Z</cp:lastPrinted>
  <dcterms:created xsi:type="dcterms:W3CDTF">2014-03-11T19:29:00Z</dcterms:created>
  <dcterms:modified xsi:type="dcterms:W3CDTF">2014-04-07T19:49:00Z</dcterms:modified>
</cp:coreProperties>
</file>