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81" w:rsidRDefault="00B7058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B70581" w:rsidRDefault="00B7058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70581" w:rsidRDefault="00B7058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B70581" w:rsidRDefault="00B7058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70581" w:rsidRDefault="00B7058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6 DE MARZO DE 2014</w:t>
      </w:r>
    </w:p>
    <w:p w:rsidR="00B70581" w:rsidRDefault="00B7058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70581" w:rsidRPr="00B70581" w:rsidRDefault="00B7058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B70581">
        <w:rPr>
          <w:rFonts w:ascii="Helvetica" w:hAnsi="Helvetica"/>
          <w:b/>
          <w:lang w:val="es-UY"/>
        </w:rPr>
        <w:t>(E. E. Nº 201</w:t>
      </w:r>
      <w:r w:rsidR="00CA7FA0">
        <w:rPr>
          <w:rFonts w:ascii="Helvetica" w:hAnsi="Helvetica"/>
          <w:b/>
          <w:lang w:val="es-UY"/>
        </w:rPr>
        <w:t xml:space="preserve">2-17-1-0002839, </w:t>
      </w:r>
      <w:proofErr w:type="spellStart"/>
      <w:r w:rsidR="00CA7FA0">
        <w:rPr>
          <w:rFonts w:ascii="Helvetica" w:hAnsi="Helvetica"/>
          <w:b/>
          <w:lang w:val="es-UY"/>
        </w:rPr>
        <w:t>Ent</w:t>
      </w:r>
      <w:proofErr w:type="spellEnd"/>
      <w:r w:rsidR="00CA7FA0">
        <w:rPr>
          <w:rFonts w:ascii="Helvetica" w:hAnsi="Helvetica"/>
          <w:b/>
          <w:lang w:val="es-UY"/>
        </w:rPr>
        <w:t>. N° 1093/14 y 1095/14</w:t>
      </w:r>
      <w:r w:rsidRPr="00B70581">
        <w:rPr>
          <w:rFonts w:ascii="Helvetica" w:hAnsi="Helvetica"/>
          <w:b/>
          <w:lang w:val="es-UY"/>
        </w:rPr>
        <w:t>)</w:t>
      </w:r>
    </w:p>
    <w:p w:rsidR="00B70581" w:rsidRPr="00B70581" w:rsidRDefault="00B70581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B70581" w:rsidRPr="00B70581" w:rsidRDefault="00B70581">
      <w:pPr>
        <w:tabs>
          <w:tab w:val="center" w:pos="4253"/>
        </w:tabs>
        <w:suppressAutoHyphens/>
        <w:rPr>
          <w:spacing w:val="-3"/>
          <w:lang w:val="es-UY"/>
        </w:rPr>
      </w:pPr>
    </w:p>
    <w:p w:rsidR="00810288" w:rsidRPr="00810288" w:rsidRDefault="00810288" w:rsidP="00761A74">
      <w:pPr>
        <w:pStyle w:val="xl29"/>
        <w:pBdr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ind w:firstLine="851"/>
        <w:textAlignment w:val="auto"/>
        <w:rPr>
          <w:b w:val="0"/>
        </w:rPr>
      </w:pPr>
      <w:r w:rsidRPr="000B702C">
        <w:rPr>
          <w:szCs w:val="20"/>
        </w:rPr>
        <w:t xml:space="preserve">VISTO: </w:t>
      </w:r>
      <w:r w:rsidRPr="000B702C">
        <w:rPr>
          <w:b w:val="0"/>
          <w:szCs w:val="20"/>
        </w:rPr>
        <w:t xml:space="preserve">los antecedentes remitidos por la Contaduría General de la Nación relativos a la solicitud de intervención de las </w:t>
      </w:r>
      <w:r w:rsidRPr="000B702C">
        <w:rPr>
          <w:b w:val="0"/>
        </w:rPr>
        <w:t xml:space="preserve">Obligaciones con tipo de ejecución </w:t>
      </w:r>
      <w:r w:rsidR="005F03B9" w:rsidRPr="005F03B9">
        <w:rPr>
          <w:b w:val="0"/>
        </w:rPr>
        <w:t>“Regularización de Extracto Bancario”</w:t>
      </w:r>
      <w:r w:rsidRPr="005F03B9">
        <w:rPr>
          <w:b w:val="0"/>
        </w:rPr>
        <w:t>;</w:t>
      </w:r>
    </w:p>
    <w:p w:rsidR="00406719" w:rsidRDefault="00810288" w:rsidP="00761A74">
      <w:pPr>
        <w:pStyle w:val="Textoindependiente"/>
        <w:ind w:firstLine="851"/>
      </w:pPr>
      <w:r w:rsidRPr="00EA453A">
        <w:rPr>
          <w:b/>
          <w:bCs/>
        </w:rPr>
        <w:t xml:space="preserve">RESULTANDO: </w:t>
      </w:r>
      <w:r w:rsidRPr="00A0605D">
        <w:rPr>
          <w:b/>
        </w:rPr>
        <w:t>1)</w:t>
      </w:r>
      <w:r>
        <w:rPr>
          <w:b/>
        </w:rPr>
        <w:t xml:space="preserve"> </w:t>
      </w:r>
      <w:r>
        <w:t>que las mencionadas obligaciones se ajustan al siguiente detalle: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"/>
        <w:gridCol w:w="988"/>
        <w:gridCol w:w="860"/>
        <w:gridCol w:w="1861"/>
        <w:gridCol w:w="3061"/>
        <w:gridCol w:w="1247"/>
      </w:tblGrid>
      <w:tr w:rsidR="00406719" w:rsidTr="00F15685">
        <w:tc>
          <w:tcPr>
            <w:tcW w:w="627" w:type="dxa"/>
          </w:tcPr>
          <w:p w:rsidR="00406719" w:rsidRDefault="00E535EF">
            <w:pPr>
              <w:pStyle w:val="Textoindependient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INC</w:t>
            </w:r>
            <w:r w:rsidR="00CA7FA0">
              <w:rPr>
                <w:b/>
                <w:bCs/>
              </w:rPr>
              <w:t>.</w:t>
            </w:r>
          </w:p>
        </w:tc>
        <w:tc>
          <w:tcPr>
            <w:tcW w:w="988" w:type="dxa"/>
          </w:tcPr>
          <w:p w:rsidR="00406719" w:rsidRDefault="00406719">
            <w:pPr>
              <w:pStyle w:val="Textoindependient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ETAPA</w:t>
            </w:r>
          </w:p>
        </w:tc>
        <w:tc>
          <w:tcPr>
            <w:tcW w:w="842" w:type="dxa"/>
          </w:tcPr>
          <w:p w:rsidR="00406719" w:rsidRDefault="00DC4CB6">
            <w:pPr>
              <w:pStyle w:val="Textoindependient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AFEC</w:t>
            </w:r>
            <w:r w:rsidR="00CA7FA0">
              <w:rPr>
                <w:b/>
                <w:bCs/>
              </w:rPr>
              <w:t>.</w:t>
            </w:r>
          </w:p>
        </w:tc>
        <w:tc>
          <w:tcPr>
            <w:tcW w:w="1866" w:type="dxa"/>
          </w:tcPr>
          <w:p w:rsidR="00406719" w:rsidRDefault="00406719">
            <w:pPr>
              <w:pStyle w:val="Textoindependient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IMPORTE </w:t>
            </w:r>
          </w:p>
        </w:tc>
        <w:tc>
          <w:tcPr>
            <w:tcW w:w="3074" w:type="dxa"/>
          </w:tcPr>
          <w:p w:rsidR="00406719" w:rsidRDefault="00406719">
            <w:pPr>
              <w:pStyle w:val="Textoindependient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CONCEPTO</w:t>
            </w:r>
          </w:p>
        </w:tc>
        <w:tc>
          <w:tcPr>
            <w:tcW w:w="1247" w:type="dxa"/>
          </w:tcPr>
          <w:p w:rsidR="00406719" w:rsidRDefault="00406719" w:rsidP="00CA7FA0">
            <w:pPr>
              <w:pStyle w:val="Textoindependient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</w:t>
            </w:r>
            <w:r w:rsidR="00CA7FA0">
              <w:rPr>
                <w:b/>
                <w:bCs/>
              </w:rPr>
              <w:t>Í</w:t>
            </w:r>
            <w:r>
              <w:rPr>
                <w:b/>
                <w:bCs/>
              </w:rPr>
              <w:t>ODO</w:t>
            </w:r>
          </w:p>
        </w:tc>
      </w:tr>
      <w:tr w:rsidR="00406719" w:rsidTr="00F15685">
        <w:tc>
          <w:tcPr>
            <w:tcW w:w="627" w:type="dxa"/>
          </w:tcPr>
          <w:p w:rsidR="00406719" w:rsidRDefault="001E0349">
            <w:pPr>
              <w:pStyle w:val="Textoindependiente"/>
              <w:jc w:val="center"/>
            </w:pPr>
            <w:r>
              <w:t>24</w:t>
            </w:r>
          </w:p>
        </w:tc>
        <w:tc>
          <w:tcPr>
            <w:tcW w:w="988" w:type="dxa"/>
          </w:tcPr>
          <w:p w:rsidR="00406719" w:rsidRDefault="00406719">
            <w:pPr>
              <w:pStyle w:val="Textoindependiente"/>
              <w:jc w:val="center"/>
            </w:pPr>
            <w:proofErr w:type="spellStart"/>
            <w:r>
              <w:t>Oblig</w:t>
            </w:r>
            <w:proofErr w:type="spellEnd"/>
            <w:r>
              <w:t>.</w:t>
            </w:r>
          </w:p>
        </w:tc>
        <w:tc>
          <w:tcPr>
            <w:tcW w:w="842" w:type="dxa"/>
          </w:tcPr>
          <w:p w:rsidR="00406719" w:rsidRDefault="0094031D" w:rsidP="00D51436">
            <w:pPr>
              <w:pStyle w:val="Textoindependiente"/>
              <w:jc w:val="center"/>
            </w:pPr>
            <w:r>
              <w:t>1</w:t>
            </w:r>
            <w:r w:rsidR="00D51436">
              <w:t>761</w:t>
            </w:r>
          </w:p>
        </w:tc>
        <w:tc>
          <w:tcPr>
            <w:tcW w:w="1866" w:type="dxa"/>
          </w:tcPr>
          <w:p w:rsidR="00406719" w:rsidRDefault="00D51436" w:rsidP="003E0CD8">
            <w:pPr>
              <w:pStyle w:val="Textoindependiente"/>
              <w:jc w:val="right"/>
            </w:pPr>
            <w:r>
              <w:t>3:774.622</w:t>
            </w:r>
          </w:p>
        </w:tc>
        <w:tc>
          <w:tcPr>
            <w:tcW w:w="3074" w:type="dxa"/>
          </w:tcPr>
          <w:p w:rsidR="00406719" w:rsidRPr="00F15685" w:rsidRDefault="00D51436" w:rsidP="00B70581">
            <w:pPr>
              <w:pStyle w:val="Textoindependiente"/>
              <w:jc w:val="center"/>
            </w:pPr>
            <w:r>
              <w:t xml:space="preserve">Comisiones </w:t>
            </w:r>
            <w:r w:rsidR="00B70581">
              <w:t>B</w:t>
            </w:r>
            <w:r>
              <w:t>ancarias</w:t>
            </w:r>
          </w:p>
        </w:tc>
        <w:tc>
          <w:tcPr>
            <w:tcW w:w="1247" w:type="dxa"/>
          </w:tcPr>
          <w:p w:rsidR="00406719" w:rsidRDefault="00D51436" w:rsidP="003E0CD8">
            <w:pPr>
              <w:pStyle w:val="Textoindependiente"/>
              <w:jc w:val="center"/>
            </w:pPr>
            <w:r>
              <w:t>Dic</w:t>
            </w:r>
            <w:r w:rsidR="00CA7FA0">
              <w:t>.</w:t>
            </w:r>
            <w:r>
              <w:t>/2013</w:t>
            </w:r>
          </w:p>
        </w:tc>
      </w:tr>
      <w:tr w:rsidR="00DC4CB6" w:rsidTr="00F15685">
        <w:tc>
          <w:tcPr>
            <w:tcW w:w="627" w:type="dxa"/>
          </w:tcPr>
          <w:p w:rsidR="00DC4CB6" w:rsidRDefault="00DC4CB6">
            <w:pPr>
              <w:pStyle w:val="Textoindependiente"/>
              <w:jc w:val="center"/>
            </w:pPr>
            <w:r>
              <w:t>24</w:t>
            </w:r>
          </w:p>
        </w:tc>
        <w:tc>
          <w:tcPr>
            <w:tcW w:w="988" w:type="dxa"/>
          </w:tcPr>
          <w:p w:rsidR="00DC4CB6" w:rsidRDefault="00DC4CB6">
            <w:pPr>
              <w:pStyle w:val="Textoindependiente"/>
              <w:jc w:val="center"/>
            </w:pPr>
            <w:proofErr w:type="spellStart"/>
            <w:r>
              <w:t>Oblig</w:t>
            </w:r>
            <w:proofErr w:type="spellEnd"/>
            <w:r>
              <w:t>.</w:t>
            </w:r>
          </w:p>
        </w:tc>
        <w:tc>
          <w:tcPr>
            <w:tcW w:w="842" w:type="dxa"/>
          </w:tcPr>
          <w:p w:rsidR="00DC4CB6" w:rsidRDefault="00D51436" w:rsidP="003E0CD8">
            <w:pPr>
              <w:pStyle w:val="Textoindependiente"/>
              <w:jc w:val="center"/>
            </w:pPr>
            <w:r>
              <w:t>255</w:t>
            </w:r>
          </w:p>
        </w:tc>
        <w:tc>
          <w:tcPr>
            <w:tcW w:w="1866" w:type="dxa"/>
          </w:tcPr>
          <w:p w:rsidR="00DC4CB6" w:rsidRDefault="00D51436" w:rsidP="003E0CD8">
            <w:pPr>
              <w:pStyle w:val="Textoindependiente"/>
              <w:jc w:val="right"/>
            </w:pPr>
            <w:r>
              <w:t>3:180.818</w:t>
            </w:r>
          </w:p>
        </w:tc>
        <w:tc>
          <w:tcPr>
            <w:tcW w:w="3074" w:type="dxa"/>
          </w:tcPr>
          <w:p w:rsidR="00DC4CB6" w:rsidRPr="00F15685" w:rsidRDefault="00B70581" w:rsidP="000A5A0A">
            <w:pPr>
              <w:pStyle w:val="Textoindependiente"/>
              <w:jc w:val="center"/>
            </w:pPr>
            <w:r>
              <w:t>Comisiones B</w:t>
            </w:r>
            <w:r w:rsidR="00D51436">
              <w:t>ancarias</w:t>
            </w:r>
          </w:p>
        </w:tc>
        <w:tc>
          <w:tcPr>
            <w:tcW w:w="1247" w:type="dxa"/>
          </w:tcPr>
          <w:p w:rsidR="00DC4CB6" w:rsidRDefault="00D51436" w:rsidP="003E0CD8">
            <w:pPr>
              <w:pStyle w:val="Textoindependiente"/>
              <w:jc w:val="center"/>
            </w:pPr>
            <w:r>
              <w:t>Ene</w:t>
            </w:r>
            <w:r w:rsidR="00CA7FA0">
              <w:t>.</w:t>
            </w:r>
            <w:r>
              <w:t>/2014</w:t>
            </w:r>
          </w:p>
        </w:tc>
      </w:tr>
    </w:tbl>
    <w:p w:rsidR="00B70581" w:rsidRDefault="00810288" w:rsidP="00D51436">
      <w:pPr>
        <w:spacing w:line="360" w:lineRule="auto"/>
        <w:jc w:val="both"/>
        <w:outlineLvl w:val="1"/>
        <w:rPr>
          <w:szCs w:val="20"/>
        </w:rPr>
      </w:pPr>
      <w:r>
        <w:rPr>
          <w:szCs w:val="20"/>
        </w:rPr>
        <w:tab/>
        <w:t xml:space="preserve">                  </w:t>
      </w:r>
    </w:p>
    <w:p w:rsidR="00406719" w:rsidRDefault="00810288" w:rsidP="00B70581">
      <w:pPr>
        <w:spacing w:line="360" w:lineRule="auto"/>
        <w:ind w:firstLine="2694"/>
        <w:jc w:val="both"/>
        <w:outlineLvl w:val="1"/>
      </w:pPr>
      <w:r>
        <w:rPr>
          <w:b/>
          <w:szCs w:val="20"/>
        </w:rPr>
        <w:t>2</w:t>
      </w:r>
      <w:r w:rsidRPr="00A26992">
        <w:rPr>
          <w:b/>
          <w:szCs w:val="20"/>
        </w:rPr>
        <w:t>)</w:t>
      </w:r>
      <w:r>
        <w:rPr>
          <w:b/>
          <w:szCs w:val="20"/>
        </w:rPr>
        <w:t xml:space="preserve"> </w:t>
      </w:r>
      <w:r w:rsidRPr="00981492">
        <w:rPr>
          <w:szCs w:val="20"/>
        </w:rPr>
        <w:t>que las</w:t>
      </w:r>
      <w:r>
        <w:rPr>
          <w:b/>
          <w:szCs w:val="20"/>
        </w:rPr>
        <w:t xml:space="preserve"> </w:t>
      </w:r>
      <w:r>
        <w:t>erogaciones se atenderán con cargo al Inciso 24, “Diversos Créditos”, UE 024 “Dir. Gral.</w:t>
      </w:r>
      <w:r w:rsidR="00D51436">
        <w:t xml:space="preserve"> </w:t>
      </w:r>
      <w:proofErr w:type="gramStart"/>
      <w:r w:rsidR="00D51436">
        <w:t>de</w:t>
      </w:r>
      <w:proofErr w:type="gramEnd"/>
      <w:r>
        <w:t xml:space="preserve"> Secretar</w:t>
      </w:r>
      <w:r w:rsidR="00CA7FA0">
        <w:t>í</w:t>
      </w:r>
      <w:r>
        <w:t>a MEF”</w:t>
      </w:r>
      <w:r w:rsidR="00D51436">
        <w:t>;</w:t>
      </w:r>
    </w:p>
    <w:p w:rsidR="00810288" w:rsidRPr="00EA453A" w:rsidRDefault="00810288" w:rsidP="00761A74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szCs w:val="20"/>
        </w:rPr>
      </w:pPr>
      <w:r>
        <w:rPr>
          <w:rFonts w:cs="Calibri"/>
          <w:b/>
          <w:color w:val="000000"/>
        </w:rPr>
        <w:t xml:space="preserve">CONSIDERANDO: </w:t>
      </w:r>
      <w:r w:rsidRPr="00452433">
        <w:rPr>
          <w:rFonts w:cs="Calibri"/>
          <w:color w:val="000000"/>
        </w:rPr>
        <w:t xml:space="preserve">que </w:t>
      </w:r>
      <w:r>
        <w:rPr>
          <w:rFonts w:cs="Calibri"/>
          <w:color w:val="000000"/>
        </w:rPr>
        <w:t>el</w:t>
      </w:r>
      <w:r w:rsidRPr="00EA453A">
        <w:rPr>
          <w:rFonts w:cs="Calibri"/>
          <w:color w:val="000000"/>
        </w:rPr>
        <w:t xml:space="preserve"> </w:t>
      </w:r>
      <w:r w:rsidR="00B70581">
        <w:rPr>
          <w:rFonts w:cs="Calibri"/>
          <w:color w:val="000000"/>
        </w:rPr>
        <w:t>A</w:t>
      </w:r>
      <w:r w:rsidRPr="00EA453A">
        <w:rPr>
          <w:rFonts w:cs="Calibri"/>
          <w:color w:val="000000"/>
        </w:rPr>
        <w:t>rt</w:t>
      </w:r>
      <w:r w:rsidR="00B70581">
        <w:rPr>
          <w:rFonts w:cs="Calibri"/>
          <w:color w:val="000000"/>
        </w:rPr>
        <w:t>ículo</w:t>
      </w:r>
      <w:r w:rsidRPr="00EA453A">
        <w:rPr>
          <w:rFonts w:cs="Calibri"/>
          <w:color w:val="000000"/>
        </w:rPr>
        <w:t xml:space="preserve"> 93 del TOCAF</w:t>
      </w:r>
      <w:r>
        <w:rPr>
          <w:rFonts w:cs="Calibri"/>
          <w:color w:val="000000"/>
        </w:rPr>
        <w:t xml:space="preserve"> </w:t>
      </w:r>
      <w:r w:rsidRPr="00EA453A">
        <w:rPr>
          <w:rFonts w:cs="Calibri"/>
          <w:color w:val="000000"/>
        </w:rPr>
        <w:t xml:space="preserve">establece que </w:t>
      </w:r>
      <w:r w:rsidRPr="00EA453A">
        <w:rPr>
          <w:rFonts w:cs="Arial"/>
          <w:bCs/>
          <w:color w:val="000000"/>
        </w:rPr>
        <w:t>corresponde registrar t</w:t>
      </w:r>
      <w:r w:rsidRPr="00EA453A">
        <w:rPr>
          <w:rFonts w:cs="Arial"/>
          <w:color w:val="000000"/>
        </w:rPr>
        <w:t>odas las  operaciones</w:t>
      </w:r>
      <w:r w:rsidRPr="00EA453A">
        <w:rPr>
          <w:rFonts w:cs="Arial"/>
          <w:bCs/>
          <w:color w:val="000000"/>
        </w:rPr>
        <w:t xml:space="preserve"> </w:t>
      </w:r>
      <w:r w:rsidRPr="00EA453A">
        <w:rPr>
          <w:rFonts w:cs="Arial"/>
          <w:color w:val="000000"/>
        </w:rPr>
        <w:t xml:space="preserve">mediante la utilización de un </w:t>
      </w:r>
      <w:r w:rsidRPr="00B70581">
        <w:rPr>
          <w:rFonts w:cs="Arial"/>
          <w:color w:val="000000"/>
          <w:spacing w:val="-8"/>
        </w:rPr>
        <w:t>sistema uniforme de documentación y procesamiento electrónico de datos</w:t>
      </w:r>
      <w:r w:rsidRPr="00EA453A">
        <w:rPr>
          <w:rFonts w:cs="Arial"/>
          <w:color w:val="000000"/>
        </w:rPr>
        <w:t xml:space="preserve"> (SIIF)</w:t>
      </w:r>
      <w:r>
        <w:rPr>
          <w:rFonts w:cs="Arial"/>
          <w:color w:val="000000"/>
        </w:rPr>
        <w:t>;</w:t>
      </w:r>
    </w:p>
    <w:p w:rsidR="00810288" w:rsidRPr="00EA453A" w:rsidRDefault="00810288" w:rsidP="00761A74">
      <w:pPr>
        <w:spacing w:line="360" w:lineRule="auto"/>
        <w:ind w:firstLine="851"/>
        <w:jc w:val="both"/>
        <w:rPr>
          <w:szCs w:val="20"/>
        </w:rPr>
      </w:pPr>
      <w:r w:rsidRPr="00EA453A">
        <w:rPr>
          <w:b/>
          <w:szCs w:val="20"/>
        </w:rPr>
        <w:t>ATENTO</w:t>
      </w:r>
      <w:r w:rsidRPr="00761A74">
        <w:rPr>
          <w:b/>
          <w:szCs w:val="20"/>
        </w:rPr>
        <w:t>:</w:t>
      </w:r>
      <w:r w:rsidRPr="00EA453A">
        <w:rPr>
          <w:szCs w:val="20"/>
        </w:rPr>
        <w:t xml:space="preserve"> a lo precedentemente expuesto</w:t>
      </w:r>
      <w:r>
        <w:rPr>
          <w:szCs w:val="20"/>
        </w:rPr>
        <w:t>;</w:t>
      </w:r>
    </w:p>
    <w:p w:rsidR="00810288" w:rsidRPr="00EA453A" w:rsidRDefault="00810288" w:rsidP="00810288">
      <w:pPr>
        <w:keepNext/>
        <w:spacing w:line="360" w:lineRule="auto"/>
        <w:jc w:val="center"/>
        <w:outlineLvl w:val="5"/>
        <w:rPr>
          <w:b/>
          <w:szCs w:val="20"/>
        </w:rPr>
      </w:pPr>
      <w:r w:rsidRPr="00EA453A">
        <w:rPr>
          <w:b/>
          <w:szCs w:val="20"/>
        </w:rPr>
        <w:t>EL TRIBUNAL ACUERDA</w:t>
      </w:r>
    </w:p>
    <w:p w:rsidR="00810288" w:rsidRPr="00A0605D" w:rsidRDefault="00810288" w:rsidP="00810288">
      <w:pPr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cs="Arial"/>
        </w:rPr>
      </w:pPr>
      <w:r w:rsidRPr="00EA453A">
        <w:t xml:space="preserve">Intervenir </w:t>
      </w:r>
      <w:r>
        <w:rPr>
          <w:szCs w:val="20"/>
        </w:rPr>
        <w:t xml:space="preserve">las </w:t>
      </w:r>
      <w:r>
        <w:t xml:space="preserve">Obligaciones con tipo de ejecución </w:t>
      </w:r>
      <w:r w:rsidR="00D51436" w:rsidRPr="00D51436">
        <w:t>“Regularización de Extracto Bancario”</w:t>
      </w:r>
      <w:r w:rsidR="00B557D5">
        <w:t>,</w:t>
      </w:r>
      <w:r>
        <w:rPr>
          <w:szCs w:val="20"/>
        </w:rPr>
        <w:t xml:space="preserve"> </w:t>
      </w:r>
      <w:r>
        <w:t>por los importes y conceptos referidos, a efectos de su registr</w:t>
      </w:r>
      <w:r w:rsidR="00CA7FA0">
        <w:t>o</w:t>
      </w:r>
      <w:r>
        <w:t xml:space="preserve"> en el SIIF</w:t>
      </w:r>
      <w:r w:rsidRPr="00A0605D">
        <w:rPr>
          <w:rFonts w:cs="Arial"/>
        </w:rPr>
        <w:t>;</w:t>
      </w:r>
      <w:r w:rsidR="00B70581">
        <w:rPr>
          <w:rFonts w:cs="Arial"/>
        </w:rPr>
        <w:t xml:space="preserve"> y</w:t>
      </w:r>
    </w:p>
    <w:p w:rsidR="00810288" w:rsidRPr="00B70581" w:rsidRDefault="00810288" w:rsidP="005F03B9">
      <w:pPr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</w:pPr>
      <w:r w:rsidRPr="005F03B9">
        <w:rPr>
          <w:rFonts w:cs="Arial"/>
        </w:rPr>
        <w:t>Devolver los antecedentes a la Contaduría General de la Nación.</w:t>
      </w:r>
    </w:p>
    <w:p w:rsidR="00B70581" w:rsidRDefault="00B70581" w:rsidP="00B70581">
      <w:pPr>
        <w:tabs>
          <w:tab w:val="left" w:pos="426"/>
        </w:tabs>
        <w:spacing w:line="360" w:lineRule="auto"/>
        <w:jc w:val="both"/>
      </w:pPr>
      <w:proofErr w:type="spellStart"/>
      <w:proofErr w:type="gramStart"/>
      <w:r>
        <w:rPr>
          <w:rFonts w:cs="Arial"/>
        </w:rPr>
        <w:t>cr</w:t>
      </w:r>
      <w:proofErr w:type="spellEnd"/>
      <w:proofErr w:type="gramEnd"/>
    </w:p>
    <w:sectPr w:rsidR="00B70581" w:rsidSect="00B70581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293" w:rsidRDefault="00C00293">
      <w:r>
        <w:separator/>
      </w:r>
    </w:p>
  </w:endnote>
  <w:endnote w:type="continuationSeparator" w:id="0">
    <w:p w:rsidR="00C00293" w:rsidRDefault="00C0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293" w:rsidRDefault="00C00293">
      <w:r>
        <w:separator/>
      </w:r>
    </w:p>
  </w:footnote>
  <w:footnote w:type="continuationSeparator" w:id="0">
    <w:p w:rsidR="00C00293" w:rsidRDefault="00C00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44B5D"/>
    <w:multiLevelType w:val="hybridMultilevel"/>
    <w:tmpl w:val="7C5A2956"/>
    <w:lvl w:ilvl="0" w:tplc="6EF2D66C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380A0019">
      <w:start w:val="1"/>
      <w:numFmt w:val="lowerLetter"/>
      <w:lvlText w:val="%2."/>
      <w:lvlJc w:val="left"/>
      <w:pPr>
        <w:ind w:left="1788" w:hanging="360"/>
      </w:pPr>
    </w:lvl>
    <w:lvl w:ilvl="2" w:tplc="380A001B">
      <w:start w:val="1"/>
      <w:numFmt w:val="lowerRoman"/>
      <w:lvlText w:val="%3."/>
      <w:lvlJc w:val="right"/>
      <w:pPr>
        <w:ind w:left="2508" w:hanging="180"/>
      </w:pPr>
    </w:lvl>
    <w:lvl w:ilvl="3" w:tplc="380A000F">
      <w:start w:val="1"/>
      <w:numFmt w:val="decimal"/>
      <w:lvlText w:val="%4."/>
      <w:lvlJc w:val="left"/>
      <w:pPr>
        <w:ind w:left="3228" w:hanging="360"/>
      </w:pPr>
    </w:lvl>
    <w:lvl w:ilvl="4" w:tplc="380A0019">
      <w:start w:val="1"/>
      <w:numFmt w:val="lowerLetter"/>
      <w:lvlText w:val="%5."/>
      <w:lvlJc w:val="left"/>
      <w:pPr>
        <w:ind w:left="3948" w:hanging="360"/>
      </w:pPr>
    </w:lvl>
    <w:lvl w:ilvl="5" w:tplc="380A001B">
      <w:start w:val="1"/>
      <w:numFmt w:val="lowerRoman"/>
      <w:lvlText w:val="%6."/>
      <w:lvlJc w:val="right"/>
      <w:pPr>
        <w:ind w:left="4668" w:hanging="180"/>
      </w:pPr>
    </w:lvl>
    <w:lvl w:ilvl="6" w:tplc="380A000F">
      <w:start w:val="1"/>
      <w:numFmt w:val="decimal"/>
      <w:lvlText w:val="%7."/>
      <w:lvlJc w:val="left"/>
      <w:pPr>
        <w:ind w:left="5388" w:hanging="360"/>
      </w:pPr>
    </w:lvl>
    <w:lvl w:ilvl="7" w:tplc="380A0019">
      <w:start w:val="1"/>
      <w:numFmt w:val="lowerLetter"/>
      <w:lvlText w:val="%8."/>
      <w:lvlJc w:val="left"/>
      <w:pPr>
        <w:ind w:left="6108" w:hanging="360"/>
      </w:pPr>
    </w:lvl>
    <w:lvl w:ilvl="8" w:tplc="38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719"/>
    <w:rsid w:val="000A5A0A"/>
    <w:rsid w:val="00135413"/>
    <w:rsid w:val="001E0349"/>
    <w:rsid w:val="00217559"/>
    <w:rsid w:val="0024533E"/>
    <w:rsid w:val="00257F36"/>
    <w:rsid w:val="00266628"/>
    <w:rsid w:val="003419B1"/>
    <w:rsid w:val="003E0CD8"/>
    <w:rsid w:val="00406719"/>
    <w:rsid w:val="00485105"/>
    <w:rsid w:val="0049241A"/>
    <w:rsid w:val="005243A9"/>
    <w:rsid w:val="005C277F"/>
    <w:rsid w:val="005F03B9"/>
    <w:rsid w:val="0064191C"/>
    <w:rsid w:val="00694B93"/>
    <w:rsid w:val="00761A74"/>
    <w:rsid w:val="00771CE2"/>
    <w:rsid w:val="00810288"/>
    <w:rsid w:val="00937F08"/>
    <w:rsid w:val="0094031D"/>
    <w:rsid w:val="009F66B8"/>
    <w:rsid w:val="00AA4D45"/>
    <w:rsid w:val="00B557D5"/>
    <w:rsid w:val="00B70581"/>
    <w:rsid w:val="00B72248"/>
    <w:rsid w:val="00B7785E"/>
    <w:rsid w:val="00C00293"/>
    <w:rsid w:val="00CA7FA0"/>
    <w:rsid w:val="00D51436"/>
    <w:rsid w:val="00DC4CB6"/>
    <w:rsid w:val="00DD76B4"/>
    <w:rsid w:val="00E10376"/>
    <w:rsid w:val="00E535EF"/>
    <w:rsid w:val="00F15685"/>
    <w:rsid w:val="00F3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line="360" w:lineRule="auto"/>
      <w:jc w:val="center"/>
      <w:outlineLvl w:val="0"/>
    </w:pPr>
    <w:rPr>
      <w:rFonts w:cs="Arial"/>
      <w:b/>
      <w:bCs/>
      <w:szCs w:val="20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spacing w:line="360" w:lineRule="auto"/>
      <w:jc w:val="both"/>
    </w:pPr>
    <w:rPr>
      <w:rFonts w:cs="Arial"/>
      <w:szCs w:val="20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rFonts w:ascii="Bookman Old Style" w:hAnsi="Bookman Old Style"/>
      <w:szCs w:val="20"/>
    </w:rPr>
  </w:style>
  <w:style w:type="paragraph" w:styleId="Textoindependiente3">
    <w:name w:val="Body Text 3"/>
    <w:basedOn w:val="Normal"/>
    <w:semiHidden/>
    <w:pPr>
      <w:jc w:val="right"/>
    </w:pPr>
    <w:rPr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xl29">
    <w:name w:val="xl29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Arial"/>
      <w:b/>
      <w:bCs/>
    </w:rPr>
  </w:style>
  <w:style w:type="paragraph" w:customStyle="1" w:styleId="xl26">
    <w:name w:val="xl26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</w:rPr>
  </w:style>
  <w:style w:type="paragraph" w:customStyle="1" w:styleId="xl24">
    <w:name w:val="xl2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Arial"/>
    </w:rPr>
  </w:style>
  <w:style w:type="character" w:customStyle="1" w:styleId="PiedepginaCar">
    <w:name w:val="Pie de página Car"/>
    <w:link w:val="Piedepgina"/>
    <w:uiPriority w:val="99"/>
    <w:rsid w:val="00E535EF"/>
    <w:rPr>
      <w:rFonts w:ascii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35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535EF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semiHidden/>
    <w:rsid w:val="005C277F"/>
    <w:rPr>
      <w:rFonts w:ascii="Arial" w:hAnsi="Arial" w:cs="Arial"/>
      <w:sz w:val="24"/>
    </w:rPr>
  </w:style>
  <w:style w:type="character" w:customStyle="1" w:styleId="Ttulo1Car">
    <w:name w:val="Título 1 Car"/>
    <w:link w:val="Ttulo1"/>
    <w:rsid w:val="00810288"/>
    <w:rPr>
      <w:rFonts w:ascii="Arial" w:hAnsi="Arial" w:cs="Arial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line="360" w:lineRule="auto"/>
      <w:jc w:val="center"/>
      <w:outlineLvl w:val="0"/>
    </w:pPr>
    <w:rPr>
      <w:rFonts w:cs="Arial"/>
      <w:b/>
      <w:bCs/>
      <w:szCs w:val="20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spacing w:line="360" w:lineRule="auto"/>
      <w:jc w:val="both"/>
    </w:pPr>
    <w:rPr>
      <w:rFonts w:cs="Arial"/>
      <w:szCs w:val="20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rFonts w:ascii="Bookman Old Style" w:hAnsi="Bookman Old Style"/>
      <w:szCs w:val="20"/>
    </w:rPr>
  </w:style>
  <w:style w:type="paragraph" w:styleId="Textoindependiente3">
    <w:name w:val="Body Text 3"/>
    <w:basedOn w:val="Normal"/>
    <w:semiHidden/>
    <w:pPr>
      <w:jc w:val="right"/>
    </w:pPr>
    <w:rPr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xl29">
    <w:name w:val="xl29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Arial"/>
      <w:b/>
      <w:bCs/>
    </w:rPr>
  </w:style>
  <w:style w:type="paragraph" w:customStyle="1" w:styleId="xl26">
    <w:name w:val="xl26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</w:rPr>
  </w:style>
  <w:style w:type="paragraph" w:customStyle="1" w:styleId="xl24">
    <w:name w:val="xl2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Arial"/>
    </w:rPr>
  </w:style>
  <w:style w:type="character" w:customStyle="1" w:styleId="PiedepginaCar">
    <w:name w:val="Pie de página Car"/>
    <w:link w:val="Piedepgina"/>
    <w:uiPriority w:val="99"/>
    <w:rsid w:val="00E535EF"/>
    <w:rPr>
      <w:rFonts w:ascii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35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535EF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semiHidden/>
    <w:rsid w:val="005C277F"/>
    <w:rPr>
      <w:rFonts w:ascii="Arial" w:hAnsi="Arial" w:cs="Arial"/>
      <w:sz w:val="24"/>
    </w:rPr>
  </w:style>
  <w:style w:type="character" w:customStyle="1" w:styleId="Ttulo1Car">
    <w:name w:val="Título 1 Car"/>
    <w:link w:val="Ttulo1"/>
    <w:rsid w:val="00810288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197</vt:lpstr>
    </vt:vector>
  </TitlesOfParts>
  <Company>Computos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197</dc:title>
  <dc:subject/>
  <dc:creator>Tribunal de Cuentas</dc:creator>
  <cp:keywords/>
  <cp:lastModifiedBy> </cp:lastModifiedBy>
  <cp:revision>5</cp:revision>
  <cp:lastPrinted>2014-03-12T12:22:00Z</cp:lastPrinted>
  <dcterms:created xsi:type="dcterms:W3CDTF">2014-03-12T12:22:00Z</dcterms:created>
  <dcterms:modified xsi:type="dcterms:W3CDTF">2014-04-03T21:17:00Z</dcterms:modified>
</cp:coreProperties>
</file>