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81" w:rsidRDefault="00D24D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24D81" w:rsidRDefault="00D24D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4D81" w:rsidRDefault="00D24D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24D81" w:rsidRDefault="00D24D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4D81" w:rsidRDefault="00D24D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26 DE FEBRERO DE 2014</w:t>
      </w:r>
    </w:p>
    <w:p w:rsidR="00D24D81" w:rsidRDefault="00D24D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4D81" w:rsidRPr="000A461D" w:rsidRDefault="00D24D8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F83CA5">
        <w:rPr>
          <w:rFonts w:ascii="Helvetica" w:hAnsi="Helvetica"/>
          <w:b/>
          <w:lang w:val="es-UY"/>
        </w:rPr>
        <w:t>(E. E. Nº 20</w:t>
      </w:r>
      <w:r w:rsidR="000A461D" w:rsidRPr="00F83CA5">
        <w:rPr>
          <w:rFonts w:ascii="Helvetica" w:hAnsi="Helvetica"/>
          <w:b/>
          <w:lang w:val="es-UY"/>
        </w:rPr>
        <w:t xml:space="preserve">14-17-1-0001215, </w:t>
      </w:r>
      <w:proofErr w:type="spellStart"/>
      <w:r w:rsidR="000A461D" w:rsidRPr="00F83CA5">
        <w:rPr>
          <w:rFonts w:ascii="Helvetica" w:hAnsi="Helvetica"/>
          <w:b/>
          <w:lang w:val="es-UY"/>
        </w:rPr>
        <w:t>Ent</w:t>
      </w:r>
      <w:proofErr w:type="spellEnd"/>
      <w:r w:rsidR="000A461D" w:rsidRPr="00F83CA5">
        <w:rPr>
          <w:rFonts w:ascii="Helvetica" w:hAnsi="Helvetica"/>
          <w:b/>
          <w:lang w:val="es-UY"/>
        </w:rPr>
        <w:t>. N° 899/14</w:t>
      </w:r>
      <w:r w:rsidRPr="00F83CA5">
        <w:rPr>
          <w:rFonts w:ascii="Helvetica" w:hAnsi="Helvetica"/>
          <w:b/>
          <w:lang w:val="es-UY"/>
        </w:rPr>
        <w:t>)</w:t>
      </w:r>
    </w:p>
    <w:p w:rsidR="00D24D81" w:rsidRPr="000A461D" w:rsidRDefault="00D24D81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F82AA1" w:rsidRDefault="00F82AA1">
      <w:pPr>
        <w:rPr>
          <w:rFonts w:ascii="Arial" w:hAnsi="Arial"/>
        </w:rPr>
      </w:pPr>
    </w:p>
    <w:p w:rsidR="00F82AA1" w:rsidRDefault="00625D3F" w:rsidP="00F83CA5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VISTO: </w:t>
      </w:r>
      <w:r>
        <w:rPr>
          <w:rFonts w:ascii="Arial" w:hAnsi="Arial"/>
          <w:bCs/>
          <w:lang w:val="es-MX"/>
        </w:rPr>
        <w:t>las actuaciones remitidas por</w:t>
      </w:r>
      <w:r>
        <w:rPr>
          <w:rFonts w:ascii="Arial" w:hAnsi="Arial"/>
          <w:lang w:val="es-MX"/>
        </w:rPr>
        <w:t xml:space="preserve"> la Intendencia de Rivera  relacionadas con la reiteración del gasto emergente de la contratación del Prof. Raphael </w:t>
      </w:r>
      <w:proofErr w:type="spellStart"/>
      <w:r>
        <w:rPr>
          <w:rFonts w:ascii="Arial" w:hAnsi="Arial"/>
          <w:lang w:val="es-MX"/>
        </w:rPr>
        <w:t>Ficher</w:t>
      </w:r>
      <w:proofErr w:type="spellEnd"/>
      <w:r>
        <w:rPr>
          <w:rFonts w:ascii="Arial" w:hAnsi="Arial"/>
          <w:lang w:val="es-MX"/>
        </w:rPr>
        <w:t xml:space="preserve"> como empresa unipersonal para desarrollar talleres culturales en los distintos barrios de esa Ciudad;</w:t>
      </w:r>
    </w:p>
    <w:p w:rsidR="00F82AA1" w:rsidRDefault="00625D3F" w:rsidP="00F83CA5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RESULTANDO: 1)</w:t>
      </w:r>
      <w:r>
        <w:rPr>
          <w:rFonts w:ascii="Arial" w:hAnsi="Arial"/>
          <w:lang w:val="es-MX"/>
        </w:rPr>
        <w:t xml:space="preserve"> que el  Intendente por Resolución Nº 10192/12 de fecha 03.10.12, dispuso la contratación del Prof</w:t>
      </w:r>
      <w:r w:rsidR="00D24D81">
        <w:rPr>
          <w:rFonts w:ascii="Arial" w:hAnsi="Arial"/>
          <w:lang w:val="es-MX"/>
        </w:rPr>
        <w:t>esor</w:t>
      </w:r>
      <w:r>
        <w:rPr>
          <w:rFonts w:ascii="Arial" w:hAnsi="Arial"/>
          <w:lang w:val="es-MX"/>
        </w:rPr>
        <w:t xml:space="preserve"> </w:t>
      </w:r>
      <w:proofErr w:type="spellStart"/>
      <w:r>
        <w:rPr>
          <w:rFonts w:ascii="Arial" w:hAnsi="Arial"/>
          <w:lang w:val="es-MX"/>
        </w:rPr>
        <w:t>Ficher</w:t>
      </w:r>
      <w:proofErr w:type="spellEnd"/>
      <w:r>
        <w:rPr>
          <w:rFonts w:ascii="Arial" w:hAnsi="Arial"/>
          <w:lang w:val="es-MX"/>
        </w:rPr>
        <w:t xml:space="preserve"> por un total de seis meses y un monto mensual de $16.000 impuestos incluidos, que en virtud de lo dispuesto por Resolución Nº 5134/13 de fecha 11.06.13, comenzaron a correr el día 18.02.13;</w:t>
      </w:r>
    </w:p>
    <w:p w:rsidR="00F82AA1" w:rsidRDefault="00D24D81" w:rsidP="00F83CA5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625D3F">
        <w:rPr>
          <w:rFonts w:ascii="Arial" w:hAnsi="Arial"/>
          <w:b/>
          <w:lang w:val="es-MX"/>
        </w:rPr>
        <w:t>2)</w:t>
      </w:r>
      <w:r w:rsidR="00625D3F">
        <w:rPr>
          <w:rFonts w:ascii="Arial" w:hAnsi="Arial"/>
          <w:lang w:val="es-MX"/>
        </w:rPr>
        <w:t xml:space="preserve"> que con fecha 18.06.13  la Contadora Delegada intervino preventivamente la suma de $</w:t>
      </w:r>
      <w:r>
        <w:rPr>
          <w:rFonts w:ascii="Arial" w:hAnsi="Arial"/>
          <w:lang w:val="es-MX"/>
        </w:rPr>
        <w:t xml:space="preserve"> </w:t>
      </w:r>
      <w:r w:rsidR="00625D3F">
        <w:rPr>
          <w:rFonts w:ascii="Arial" w:hAnsi="Arial"/>
          <w:lang w:val="es-MX"/>
        </w:rPr>
        <w:t xml:space="preserve">96.000 y con fecha 19.12.13 y habiendo vencido el contrato de referencia, el Director General de Promoción y Desarrollo solicita al Intendente autorizar la ampliación del mencionado contrato por el término de seis meses, en virtud que considera necesario seguir contando con los servicios que desarrolla el Prof. </w:t>
      </w:r>
      <w:proofErr w:type="spellStart"/>
      <w:r w:rsidR="00625D3F">
        <w:rPr>
          <w:rFonts w:ascii="Arial" w:hAnsi="Arial"/>
          <w:lang w:val="es-MX"/>
        </w:rPr>
        <w:t>Ficher</w:t>
      </w:r>
      <w:proofErr w:type="spellEnd"/>
      <w:r w:rsidR="00625D3F">
        <w:rPr>
          <w:rFonts w:ascii="Arial" w:hAnsi="Arial"/>
          <w:lang w:val="es-MX"/>
        </w:rPr>
        <w:t xml:space="preserve"> en División Cultura;</w:t>
      </w:r>
    </w:p>
    <w:p w:rsidR="00F82AA1" w:rsidRDefault="00D24D81" w:rsidP="00F83CA5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625D3F">
        <w:rPr>
          <w:rFonts w:ascii="Arial" w:hAnsi="Arial"/>
          <w:b/>
          <w:lang w:val="es-MX"/>
        </w:rPr>
        <w:t>3)</w:t>
      </w:r>
      <w:r w:rsidR="00625D3F">
        <w:rPr>
          <w:rFonts w:ascii="Arial" w:hAnsi="Arial"/>
          <w:lang w:val="es-MX"/>
        </w:rPr>
        <w:t xml:space="preserve"> que el Intendente por Resolución Nº 13018/13 de fecha 30.12.13, dispuso renovar la contratación por el plazo de seis meses en forma retroactiva al 18.08.13 en los mismos términos y condiciones de la contratación original;</w:t>
      </w:r>
    </w:p>
    <w:p w:rsidR="00F82AA1" w:rsidRDefault="00F83CA5" w:rsidP="00F83CA5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 </w:t>
      </w:r>
      <w:r w:rsidR="00625D3F">
        <w:rPr>
          <w:rFonts w:ascii="Arial" w:hAnsi="Arial"/>
          <w:b/>
          <w:bCs/>
          <w:lang w:val="es-MX"/>
        </w:rPr>
        <w:t xml:space="preserve">4) </w:t>
      </w:r>
      <w:r w:rsidR="00625D3F">
        <w:rPr>
          <w:rFonts w:ascii="Arial" w:hAnsi="Arial"/>
          <w:lang w:val="es-MX"/>
        </w:rPr>
        <w:t>que la Contadora Delegada en actuación de fecha 03.01.14 interviene el gasto por un total de $25.290 y observa por falta de disponibilidad (</w:t>
      </w:r>
      <w:r w:rsidR="00D24D81">
        <w:rPr>
          <w:rFonts w:ascii="Arial" w:hAnsi="Arial"/>
          <w:lang w:val="es-MX"/>
        </w:rPr>
        <w:t>A</w:t>
      </w:r>
      <w:r w:rsidR="00625D3F">
        <w:rPr>
          <w:rFonts w:ascii="Arial" w:hAnsi="Arial"/>
          <w:lang w:val="es-MX"/>
        </w:rPr>
        <w:t>rt</w:t>
      </w:r>
      <w:r w:rsidR="00D24D81">
        <w:rPr>
          <w:rFonts w:ascii="Arial" w:hAnsi="Arial"/>
          <w:lang w:val="es-MX"/>
        </w:rPr>
        <w:t>ículo</w:t>
      </w:r>
      <w:r w:rsidR="00625D3F">
        <w:rPr>
          <w:rFonts w:ascii="Arial" w:hAnsi="Arial"/>
          <w:lang w:val="es-MX"/>
        </w:rPr>
        <w:t xml:space="preserve"> 15 del T.O.C.A.F.), el saldo de $</w:t>
      </w:r>
      <w:r w:rsidR="00D24D81">
        <w:rPr>
          <w:rFonts w:ascii="Arial" w:hAnsi="Arial"/>
          <w:lang w:val="es-MX"/>
        </w:rPr>
        <w:t xml:space="preserve"> </w:t>
      </w:r>
      <w:r w:rsidR="00625D3F">
        <w:rPr>
          <w:rFonts w:ascii="Arial" w:hAnsi="Arial"/>
          <w:lang w:val="es-MX"/>
        </w:rPr>
        <w:t>70.710;</w:t>
      </w:r>
    </w:p>
    <w:p w:rsidR="00F82AA1" w:rsidRDefault="00F83CA5" w:rsidP="00F83CA5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lastRenderedPageBreak/>
        <w:t xml:space="preserve"> </w:t>
      </w:r>
      <w:r w:rsidR="00625D3F">
        <w:rPr>
          <w:rFonts w:ascii="Arial" w:hAnsi="Arial"/>
          <w:b/>
          <w:bCs/>
          <w:lang w:val="es-MX"/>
        </w:rPr>
        <w:t xml:space="preserve">5) </w:t>
      </w:r>
      <w:r w:rsidR="00625D3F">
        <w:rPr>
          <w:rFonts w:ascii="Arial" w:hAnsi="Arial"/>
          <w:lang w:val="es-MX"/>
        </w:rPr>
        <w:t>que el Intendente por Resolución Nº 268/14 dispuso reiterar el gasto sin expresión de fundamentos relacionados con la observación recaída en fecha 03.01.14;</w:t>
      </w:r>
    </w:p>
    <w:p w:rsidR="00F82AA1" w:rsidRDefault="00625D3F" w:rsidP="00F83CA5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CONSIDERANDO: 1)</w:t>
      </w:r>
      <w:r>
        <w:rPr>
          <w:rFonts w:ascii="Arial" w:hAnsi="Arial"/>
          <w:lang w:val="es-MX"/>
        </w:rPr>
        <w:t xml:space="preserve"> que el Art</w:t>
      </w:r>
      <w:r w:rsidR="00D24D8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</w:t>
      </w:r>
      <w:r w:rsidR="00D24D81">
        <w:rPr>
          <w:rFonts w:ascii="Arial" w:hAnsi="Arial"/>
          <w:lang w:val="es-MX"/>
        </w:rPr>
        <w:t xml:space="preserve">N° </w:t>
      </w:r>
      <w:r>
        <w:rPr>
          <w:rFonts w:ascii="Arial" w:hAnsi="Arial"/>
          <w:lang w:val="es-MX"/>
        </w:rPr>
        <w:t>17.296 dispone que los Ordenadores de gastos o pagos, al ejercer la facultad de insistencia  o reiteración que les confiere el Art</w:t>
      </w:r>
      <w:r w:rsidR="00D24D8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Lit</w:t>
      </w:r>
      <w:r w:rsidR="00D24D8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 la Constitución de la República deberán hacerlo en forma fundada, detallando los motivos que a su juicio justifican seguir el curso del gasto o pago;</w:t>
      </w:r>
    </w:p>
    <w:p w:rsidR="00F82AA1" w:rsidRDefault="00625D3F" w:rsidP="00F83CA5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en la especie, la Resolución de reiteración del gasto del Ordenador </w:t>
      </w:r>
      <w:r w:rsidR="00D24D81">
        <w:rPr>
          <w:rFonts w:ascii="Arial" w:hAnsi="Arial"/>
          <w:lang w:val="es-MX"/>
        </w:rPr>
        <w:t>c</w:t>
      </w:r>
      <w:r>
        <w:rPr>
          <w:rFonts w:ascii="Arial" w:hAnsi="Arial"/>
          <w:lang w:val="es-MX"/>
        </w:rPr>
        <w:t>ompetente carece de la debida fundamentación, ya que los argumentos no guardan relación con los motivos de la observación;</w:t>
      </w:r>
    </w:p>
    <w:p w:rsidR="00F82AA1" w:rsidRDefault="00625D3F" w:rsidP="00F83CA5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se mantienen incambiadas las circunstancias que </w:t>
      </w:r>
      <w:r>
        <w:rPr>
          <w:rFonts w:ascii="Arial" w:hAnsi="Arial" w:cs="Arial"/>
          <w:lang w:val="es-MX"/>
        </w:rPr>
        <w:t>ameritaron la observación del gasto por parte de la Contadora Delegada;</w:t>
      </w:r>
    </w:p>
    <w:p w:rsidR="00F82AA1" w:rsidRDefault="00625D3F" w:rsidP="00F83CA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precedentemente expuesto y a lo dispuesto por el Artículo 211 Lit</w:t>
      </w:r>
      <w:r w:rsidR="00D24D81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 y </w:t>
      </w:r>
      <w:r w:rsidR="000A461D">
        <w:rPr>
          <w:rFonts w:ascii="Arial" w:hAnsi="Arial" w:cs="Arial"/>
        </w:rPr>
        <w:t>por el</w:t>
      </w:r>
      <w:r>
        <w:rPr>
          <w:rFonts w:ascii="Arial" w:hAnsi="Arial" w:cs="Arial"/>
        </w:rPr>
        <w:t xml:space="preserve"> Art</w:t>
      </w:r>
      <w:r w:rsidR="00D24D81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475 de la Ley </w:t>
      </w:r>
      <w:r w:rsidR="00D24D81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17.296;</w:t>
      </w:r>
    </w:p>
    <w:p w:rsidR="00F82AA1" w:rsidRPr="00D24D81" w:rsidRDefault="00D24D81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F82AA1" w:rsidRDefault="00625D3F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Mantener la observación del gasto de fecha 03.01.14;</w:t>
      </w:r>
    </w:p>
    <w:p w:rsidR="00F82AA1" w:rsidRDefault="00625D3F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Junta Departamental de Rivera y comunicar la presente </w:t>
      </w:r>
      <w:r w:rsidR="000A461D">
        <w:rPr>
          <w:rFonts w:ascii="Arial" w:hAnsi="Arial"/>
          <w:lang w:val="es-MX"/>
        </w:rPr>
        <w:t>R</w:t>
      </w:r>
      <w:r>
        <w:rPr>
          <w:rFonts w:ascii="Arial" w:hAnsi="Arial"/>
          <w:lang w:val="es-MX"/>
        </w:rPr>
        <w:t>esolución a la Contadora Delegada;</w:t>
      </w:r>
      <w:r w:rsidR="00D24D81">
        <w:rPr>
          <w:rFonts w:ascii="Arial" w:hAnsi="Arial"/>
          <w:lang w:val="es-MX"/>
        </w:rPr>
        <w:t xml:space="preserve"> y</w:t>
      </w:r>
    </w:p>
    <w:p w:rsidR="00F82AA1" w:rsidRDefault="00625D3F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por oficio.</w:t>
      </w:r>
    </w:p>
    <w:p w:rsidR="00D24D81" w:rsidRDefault="00D24D81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D24D81" w:rsidSect="00D24D81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A5" w:rsidRDefault="00F83CA5">
      <w:r>
        <w:separator/>
      </w:r>
    </w:p>
  </w:endnote>
  <w:endnote w:type="continuationSeparator" w:id="0">
    <w:p w:rsidR="00F83CA5" w:rsidRDefault="00F8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A5" w:rsidRDefault="00F83CA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3CA5" w:rsidRDefault="00F83C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A5" w:rsidRDefault="00F83CA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83CA5" w:rsidRDefault="00F83C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A5" w:rsidRDefault="00F83CA5">
      <w:r>
        <w:separator/>
      </w:r>
    </w:p>
  </w:footnote>
  <w:footnote w:type="continuationSeparator" w:id="0">
    <w:p w:rsidR="00F83CA5" w:rsidRDefault="00F8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B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2E754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AF478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5D756C"/>
    <w:multiLevelType w:val="singleLevel"/>
    <w:tmpl w:val="C3E84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81"/>
    <w:rsid w:val="000A461D"/>
    <w:rsid w:val="00625D3F"/>
    <w:rsid w:val="00D24D81"/>
    <w:rsid w:val="00F82AA1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145757</vt:lpstr>
    </vt:vector>
  </TitlesOfParts>
  <Company>TCR</Company>
  <LinksUpToDate>false</LinksUpToDate>
  <CharactersWithSpaces>2773</CharactersWithSpaces>
  <SharedDoc>false</SharedDoc>
  <HLinks>
    <vt:vector size="6" baseType="variant"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..\..\..\Misdocumentos\Reiteraciones\Rivera\2014-17-1-0001215.doc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145757</dc:title>
  <dc:subject/>
  <dc:creator>Gobiernos Departamentales</dc:creator>
  <cp:keywords/>
  <cp:lastModifiedBy> </cp:lastModifiedBy>
  <cp:revision>4</cp:revision>
  <cp:lastPrinted>2014-02-28T15:21:00Z</cp:lastPrinted>
  <dcterms:created xsi:type="dcterms:W3CDTF">2014-02-28T15:22:00Z</dcterms:created>
  <dcterms:modified xsi:type="dcterms:W3CDTF">2014-03-27T20:34:00Z</dcterms:modified>
</cp:coreProperties>
</file>