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BA5" w:rsidRDefault="00863BA5">
      <w:pPr>
        <w:tabs>
          <w:tab w:val="center" w:pos="4253"/>
        </w:tabs>
        <w:suppressAutoHyphens/>
        <w:jc w:val="center"/>
        <w:rPr>
          <w:rFonts w:ascii="Helvetica" w:hAnsi="Helvetica"/>
          <w:b/>
          <w:lang w:val="es-ES_tradnl"/>
        </w:rPr>
      </w:pPr>
      <w:r>
        <w:rPr>
          <w:rFonts w:ascii="Helvetica" w:hAnsi="Helvetica"/>
          <w:b/>
          <w:lang w:val="es-ES_tradnl"/>
        </w:rPr>
        <w:t>RESOLUCION ADOPTADA POR EL</w:t>
      </w:r>
    </w:p>
    <w:p w:rsidR="00863BA5" w:rsidRDefault="00863BA5">
      <w:pPr>
        <w:tabs>
          <w:tab w:val="left" w:pos="-720"/>
        </w:tabs>
        <w:suppressAutoHyphens/>
        <w:jc w:val="center"/>
        <w:rPr>
          <w:rFonts w:ascii="Helvetica" w:hAnsi="Helvetica"/>
          <w:b/>
          <w:lang w:val="es-ES_tradnl"/>
        </w:rPr>
      </w:pPr>
    </w:p>
    <w:p w:rsidR="00863BA5" w:rsidRDefault="00863BA5">
      <w:pPr>
        <w:tabs>
          <w:tab w:val="center" w:pos="4253"/>
        </w:tabs>
        <w:suppressAutoHyphens/>
        <w:jc w:val="center"/>
        <w:rPr>
          <w:rFonts w:ascii="Helvetica" w:hAnsi="Helvetica"/>
          <w:b/>
          <w:lang w:val="es-ES_tradnl"/>
        </w:rPr>
      </w:pPr>
      <w:r>
        <w:rPr>
          <w:rFonts w:ascii="Helvetica" w:hAnsi="Helvetica"/>
          <w:b/>
          <w:lang w:val="es-ES_tradnl"/>
        </w:rPr>
        <w:t>TRIBUNAL DE CUENTAS</w:t>
      </w:r>
    </w:p>
    <w:p w:rsidR="00863BA5" w:rsidRDefault="00863BA5">
      <w:pPr>
        <w:tabs>
          <w:tab w:val="left" w:pos="-720"/>
        </w:tabs>
        <w:suppressAutoHyphens/>
        <w:jc w:val="center"/>
        <w:rPr>
          <w:rFonts w:ascii="Helvetica" w:hAnsi="Helvetica"/>
          <w:b/>
          <w:lang w:val="es-ES_tradnl"/>
        </w:rPr>
      </w:pPr>
    </w:p>
    <w:p w:rsidR="00863BA5" w:rsidRDefault="00863BA5">
      <w:pPr>
        <w:tabs>
          <w:tab w:val="center" w:pos="4253"/>
        </w:tabs>
        <w:suppressAutoHyphens/>
        <w:jc w:val="center"/>
        <w:rPr>
          <w:rFonts w:ascii="Helvetica" w:hAnsi="Helvetica"/>
          <w:b/>
          <w:lang w:val="es-ES_tradnl"/>
        </w:rPr>
      </w:pPr>
      <w:r>
        <w:rPr>
          <w:rFonts w:ascii="Helvetica" w:hAnsi="Helvetica"/>
          <w:b/>
          <w:lang w:val="es-ES_tradnl"/>
        </w:rPr>
        <w:t>EN SESION DE FECHA  DE 26 DE FEBRERO DE  2014</w:t>
      </w:r>
    </w:p>
    <w:p w:rsidR="00863BA5" w:rsidRDefault="00863BA5">
      <w:pPr>
        <w:tabs>
          <w:tab w:val="center" w:pos="4253"/>
        </w:tabs>
        <w:suppressAutoHyphens/>
        <w:jc w:val="center"/>
        <w:rPr>
          <w:rFonts w:ascii="Helvetica" w:hAnsi="Helvetica"/>
          <w:b/>
          <w:lang w:val="es-ES_tradnl"/>
        </w:rPr>
      </w:pPr>
    </w:p>
    <w:p w:rsidR="00863BA5" w:rsidRPr="00863BA5" w:rsidRDefault="00863BA5">
      <w:pPr>
        <w:tabs>
          <w:tab w:val="center" w:pos="4253"/>
        </w:tabs>
        <w:suppressAutoHyphens/>
        <w:jc w:val="center"/>
        <w:rPr>
          <w:rFonts w:ascii="Helvetica" w:hAnsi="Helvetica"/>
          <w:b/>
          <w:lang w:val="es-UY"/>
        </w:rPr>
      </w:pPr>
      <w:r w:rsidRPr="00863BA5">
        <w:rPr>
          <w:rFonts w:ascii="Helvetica" w:hAnsi="Helvetica"/>
          <w:b/>
          <w:lang w:val="es-UY"/>
        </w:rPr>
        <w:t xml:space="preserve">(E. E. Nº 2013-17-1-0000832, </w:t>
      </w:r>
      <w:proofErr w:type="spellStart"/>
      <w:r w:rsidRPr="00863BA5">
        <w:rPr>
          <w:rFonts w:ascii="Helvetica" w:hAnsi="Helvetica"/>
          <w:b/>
          <w:lang w:val="es-UY"/>
        </w:rPr>
        <w:t>Ent</w:t>
      </w:r>
      <w:proofErr w:type="spellEnd"/>
      <w:r w:rsidRPr="00863BA5">
        <w:rPr>
          <w:rFonts w:ascii="Helvetica" w:hAnsi="Helvetica"/>
          <w:b/>
          <w:lang w:val="es-UY"/>
        </w:rPr>
        <w:t>. N° 825/14.)</w:t>
      </w:r>
    </w:p>
    <w:p w:rsidR="00EB3C4F" w:rsidRDefault="00EB3C4F">
      <w:pPr>
        <w:rPr>
          <w:b/>
          <w:bCs/>
        </w:rPr>
      </w:pPr>
    </w:p>
    <w:p w:rsidR="00405368" w:rsidRDefault="00405368" w:rsidP="00863BA5">
      <w:pPr>
        <w:spacing w:line="360" w:lineRule="auto"/>
        <w:ind w:firstLine="708"/>
        <w:jc w:val="both"/>
        <w:rPr>
          <w:b/>
          <w:bCs/>
        </w:rPr>
      </w:pPr>
    </w:p>
    <w:p w:rsidR="00EB3C4F" w:rsidRDefault="00405368" w:rsidP="00863BA5">
      <w:pPr>
        <w:spacing w:line="360" w:lineRule="auto"/>
        <w:ind w:firstLine="708"/>
        <w:jc w:val="both"/>
      </w:pPr>
      <w:r>
        <w:rPr>
          <w:b/>
          <w:bCs/>
        </w:rPr>
        <w:t>VISTO:</w:t>
      </w:r>
      <w:r>
        <w:t xml:space="preserve"> las actuaciones remitidas por la Intendencia de Montevideo relacionadas con la prórroga del llamado público a ONG interesad</w:t>
      </w:r>
      <w:r w:rsidR="00700606">
        <w:t>as en suscribir convenios socio-educativo-</w:t>
      </w:r>
      <w:r>
        <w:t>laborales para realizar tareas de barrido y levante de hasta 40 ferias del Depto</w:t>
      </w:r>
      <w:r w:rsidR="00700606">
        <w:t>.</w:t>
      </w:r>
      <w:r>
        <w:t xml:space="preserve"> de Montevideo;</w:t>
      </w:r>
    </w:p>
    <w:p w:rsidR="00EB3C4F" w:rsidRDefault="00405368" w:rsidP="00863BA5">
      <w:pPr>
        <w:spacing w:line="360" w:lineRule="auto"/>
        <w:ind w:firstLine="708"/>
        <w:jc w:val="both"/>
        <w:rPr>
          <w:rFonts w:cs="Arial"/>
        </w:rPr>
      </w:pPr>
      <w:r>
        <w:rPr>
          <w:b/>
          <w:bCs/>
        </w:rPr>
        <w:t xml:space="preserve">RESULTANDO: </w:t>
      </w:r>
      <w:r w:rsidRPr="00863BA5">
        <w:rPr>
          <w:b/>
        </w:rPr>
        <w:t>1)</w:t>
      </w:r>
      <w:r>
        <w:rPr>
          <w:rFonts w:cs="Arial"/>
        </w:rPr>
        <w:t xml:space="preserve"> que</w:t>
      </w:r>
      <w:r>
        <w:rPr>
          <w:rFonts w:cs="Arial"/>
          <w:color w:val="FF0000"/>
        </w:rPr>
        <w:t xml:space="preserve"> </w:t>
      </w:r>
      <w:r>
        <w:rPr>
          <w:rFonts w:cs="Arial"/>
          <w:lang w:val="es-MX"/>
        </w:rPr>
        <w:t>con fecha 27.09.10, la Intendent</w:t>
      </w:r>
      <w:r w:rsidR="00700606">
        <w:rPr>
          <w:rFonts w:cs="Arial"/>
          <w:lang w:val="es-MX"/>
        </w:rPr>
        <w:t>e</w:t>
      </w:r>
      <w:r>
        <w:rPr>
          <w:rFonts w:cs="Arial"/>
          <w:lang w:val="es-MX"/>
        </w:rPr>
        <w:t xml:space="preserve"> dispuso aprobar el texto del contrato de donación modal a suscribir con la Sociedad San Francisco de Sales “Padres Salesianos”, por el cual la Intendencia dona la suma de $ 6:544.631,36, por el plazo de 1 año a partir del 01.10.1</w:t>
      </w:r>
      <w:r w:rsidR="00700606">
        <w:rPr>
          <w:rFonts w:cs="Arial"/>
          <w:lang w:val="es-MX"/>
        </w:rPr>
        <w:t>0, y la ONG en carácter de modo</w:t>
      </w:r>
      <w:r>
        <w:rPr>
          <w:rFonts w:cs="Arial"/>
          <w:lang w:val="es-MX"/>
        </w:rPr>
        <w:t xml:space="preserve"> desarrollará las tareas de barrido y levante de hasta 40 ferias y peri</w:t>
      </w:r>
      <w:r w:rsidR="00700606">
        <w:rPr>
          <w:rFonts w:cs="Arial"/>
          <w:lang w:val="es-MX"/>
        </w:rPr>
        <w:t>ferias, así como la tarea socio-</w:t>
      </w:r>
      <w:r>
        <w:rPr>
          <w:rFonts w:cs="Arial"/>
          <w:lang w:val="es-MX"/>
        </w:rPr>
        <w:t>educativa</w:t>
      </w:r>
      <w:r w:rsidR="00700606">
        <w:rPr>
          <w:rFonts w:cs="Arial"/>
          <w:lang w:val="es-MX"/>
        </w:rPr>
        <w:t>-</w:t>
      </w:r>
      <w:r>
        <w:rPr>
          <w:rFonts w:cs="Arial"/>
          <w:lang w:val="es-MX"/>
        </w:rPr>
        <w:t>laboral propuesta</w:t>
      </w:r>
      <w:r>
        <w:rPr>
          <w:rFonts w:cs="Arial"/>
        </w:rPr>
        <w:t>;</w:t>
      </w:r>
    </w:p>
    <w:p w:rsidR="00EB3C4F" w:rsidRDefault="00405368" w:rsidP="00863BA5">
      <w:pPr>
        <w:spacing w:line="360" w:lineRule="auto"/>
        <w:ind w:firstLine="2694"/>
        <w:jc w:val="both"/>
        <w:rPr>
          <w:rFonts w:cs="Arial"/>
        </w:rPr>
      </w:pPr>
      <w:r w:rsidRPr="00863BA5">
        <w:rPr>
          <w:rFonts w:cs="Arial"/>
          <w:b/>
        </w:rPr>
        <w:t>2</w:t>
      </w:r>
      <w:r w:rsidRPr="00863BA5">
        <w:rPr>
          <w:b/>
        </w:rPr>
        <w:t>)</w:t>
      </w:r>
      <w:r>
        <w:t xml:space="preserve"> que este Tribunal, en </w:t>
      </w:r>
      <w:r w:rsidR="00863BA5">
        <w:t>S</w:t>
      </w:r>
      <w:r>
        <w:t xml:space="preserve">esión de fecha 26/08/10 dispuso observar el gasto en virtud de que: </w:t>
      </w:r>
      <w:r w:rsidR="00700606">
        <w:t xml:space="preserve"> </w:t>
      </w:r>
      <w:r w:rsidRPr="00700606">
        <w:rPr>
          <w:b/>
        </w:rPr>
        <w:t>a</w:t>
      </w:r>
      <w:r>
        <w:t xml:space="preserve">) se contravino lo dispuesto por el </w:t>
      </w:r>
      <w:r w:rsidR="00863BA5">
        <w:t>A</w:t>
      </w:r>
      <w:r>
        <w:t>rt</w:t>
      </w:r>
      <w:r w:rsidR="00863BA5">
        <w:t>ículo</w:t>
      </w:r>
      <w:r>
        <w:t xml:space="preserve"> 149 del </w:t>
      </w:r>
      <w:r w:rsidR="00863BA5">
        <w:t>D</w:t>
      </w:r>
      <w:r>
        <w:t xml:space="preserve">ecreto de la Junta Departamental  </w:t>
      </w:r>
      <w:r w:rsidR="00863BA5">
        <w:t>N</w:t>
      </w:r>
      <w:r>
        <w:t xml:space="preserve">º 26.949, ya que se trata de un procedimiento especial no habilitado por el </w:t>
      </w:r>
      <w:r w:rsidR="00863BA5">
        <w:t>A</w:t>
      </w:r>
      <w:r w:rsidR="00F63B34">
        <w:t>rtículo</w:t>
      </w:r>
      <w:r>
        <w:t xml:space="preserve"> 34 del TOCAF; </w:t>
      </w:r>
      <w:r w:rsidRPr="00700606">
        <w:rPr>
          <w:b/>
        </w:rPr>
        <w:t>b</w:t>
      </w:r>
      <w:r>
        <w:t xml:space="preserve">) </w:t>
      </w:r>
      <w:r>
        <w:rPr>
          <w:rFonts w:cs="Arial"/>
        </w:rPr>
        <w:t>no pueden comprometerse gastos sin que exista disponibilidad suficiente en el rubro de imputación contable (Art</w:t>
      </w:r>
      <w:r w:rsidR="00F63B34">
        <w:rPr>
          <w:rFonts w:cs="Arial"/>
        </w:rPr>
        <w:t>ículo</w:t>
      </w:r>
      <w:r>
        <w:rPr>
          <w:rFonts w:cs="Arial"/>
        </w:rPr>
        <w:t xml:space="preserve"> 15 del TOCAF)</w:t>
      </w:r>
      <w:r w:rsidR="00700606">
        <w:rPr>
          <w:rFonts w:cs="Arial"/>
        </w:rPr>
        <w:t>;</w:t>
      </w:r>
      <w:r>
        <w:rPr>
          <w:rFonts w:cs="Arial"/>
        </w:rPr>
        <w:t xml:space="preserve"> y </w:t>
      </w:r>
      <w:r w:rsidRPr="00700606">
        <w:rPr>
          <w:rFonts w:cs="Arial"/>
          <w:b/>
        </w:rPr>
        <w:t>c</w:t>
      </w:r>
      <w:r>
        <w:rPr>
          <w:rFonts w:cs="Arial"/>
        </w:rPr>
        <w:t>) la contratación había tenido principio de ejecución.  Dicho gasto fue reiterado por la Intendent</w:t>
      </w:r>
      <w:r w:rsidR="00700606">
        <w:rPr>
          <w:rFonts w:cs="Arial"/>
        </w:rPr>
        <w:t>e por R</w:t>
      </w:r>
      <w:r>
        <w:rPr>
          <w:rFonts w:cs="Arial"/>
        </w:rPr>
        <w:t>esoluciones de fechas  10/1/11 y 28/2/11;</w:t>
      </w:r>
    </w:p>
    <w:p w:rsidR="00EB3C4F" w:rsidRDefault="00405368" w:rsidP="00F63B34">
      <w:pPr>
        <w:spacing w:line="360" w:lineRule="auto"/>
        <w:ind w:firstLine="2694"/>
        <w:jc w:val="both"/>
        <w:rPr>
          <w:rFonts w:cs="Arial"/>
        </w:rPr>
      </w:pPr>
      <w:r w:rsidRPr="00F63B34">
        <w:rPr>
          <w:rFonts w:cs="Arial"/>
          <w:b/>
        </w:rPr>
        <w:t>3)</w:t>
      </w:r>
      <w:r>
        <w:rPr>
          <w:rFonts w:cs="Arial"/>
        </w:rPr>
        <w:t xml:space="preserve"> que por Resolución </w:t>
      </w:r>
      <w:r w:rsidR="00700606">
        <w:rPr>
          <w:rFonts w:cs="Arial"/>
        </w:rPr>
        <w:t>Nº</w:t>
      </w:r>
      <w:r>
        <w:rPr>
          <w:rFonts w:cs="Arial"/>
        </w:rPr>
        <w:t xml:space="preserve"> </w:t>
      </w:r>
      <w:r w:rsidR="000B5D4A">
        <w:rPr>
          <w:rFonts w:cs="Arial"/>
        </w:rPr>
        <w:t xml:space="preserve">1 </w:t>
      </w:r>
      <w:bookmarkStart w:id="0" w:name="_GoBack"/>
      <w:bookmarkEnd w:id="0"/>
      <w:r>
        <w:rPr>
          <w:rFonts w:cs="Arial"/>
        </w:rPr>
        <w:t>4326/11 de fecha  19 de setiembre de 2011 la Intendent</w:t>
      </w:r>
      <w:r w:rsidR="00700606">
        <w:rPr>
          <w:rFonts w:cs="Arial"/>
        </w:rPr>
        <w:t>e</w:t>
      </w:r>
      <w:r>
        <w:rPr>
          <w:rFonts w:cs="Arial"/>
        </w:rPr>
        <w:t xml:space="preserve"> resolvió </w:t>
      </w:r>
      <w:r w:rsidR="00700606">
        <w:rPr>
          <w:rFonts w:cs="Arial"/>
        </w:rPr>
        <w:t xml:space="preserve">renovar por el plazo de un año </w:t>
      </w:r>
      <w:r>
        <w:rPr>
          <w:rFonts w:cs="Arial"/>
        </w:rPr>
        <w:t xml:space="preserve">la donación modal  suscrita con  la Sociedad San Francisco de Sales, a partir del 10 de octubre de 2011.  Posteriormente  volvió a prorrogarse la donación en </w:t>
      </w:r>
      <w:r>
        <w:rPr>
          <w:rFonts w:cs="Arial"/>
        </w:rPr>
        <w:lastRenderedPageBreak/>
        <w:t>sucesivas oportunidades por Resoluciones de fechas 13/8/12,</w:t>
      </w:r>
      <w:r w:rsidR="00F63B34">
        <w:rPr>
          <w:rFonts w:cs="Arial"/>
        </w:rPr>
        <w:t xml:space="preserve"> </w:t>
      </w:r>
      <w:r w:rsidR="000D50EB">
        <w:rPr>
          <w:rFonts w:cs="Arial"/>
        </w:rPr>
        <w:t>21/1/13</w:t>
      </w:r>
      <w:r>
        <w:rPr>
          <w:rFonts w:cs="Arial"/>
        </w:rPr>
        <w:t xml:space="preserve"> y 28/10/13</w:t>
      </w:r>
      <w:r w:rsidR="000D50EB">
        <w:rPr>
          <w:rFonts w:cs="Arial"/>
        </w:rPr>
        <w:t>,</w:t>
      </w:r>
      <w:r>
        <w:rPr>
          <w:rFonts w:cs="Arial"/>
        </w:rPr>
        <w:t xml:space="preserve"> mientras se culminaba el trámite del nuevo llamado;</w:t>
      </w:r>
    </w:p>
    <w:p w:rsidR="00EB3C4F" w:rsidRDefault="00405368" w:rsidP="00F63B34">
      <w:pPr>
        <w:spacing w:line="360" w:lineRule="auto"/>
        <w:ind w:firstLine="2694"/>
        <w:jc w:val="both"/>
        <w:rPr>
          <w:rFonts w:cs="Arial"/>
        </w:rPr>
      </w:pPr>
      <w:r w:rsidRPr="00F63B34">
        <w:rPr>
          <w:rFonts w:cs="Arial"/>
          <w:b/>
        </w:rPr>
        <w:t>4)</w:t>
      </w:r>
      <w:r>
        <w:rPr>
          <w:rFonts w:cs="Arial"/>
        </w:rPr>
        <w:t xml:space="preserve"> que las consecutivas renovaciones fueron observadas por este Tribunal, por tratarse de la renovación de un gasto que ya había sido observado por el Tribunal de Cuentas.  Dicho gasto fue reiterado por Resoluciones de la Intendent</w:t>
      </w:r>
      <w:r w:rsidR="000D50EB">
        <w:rPr>
          <w:rFonts w:cs="Arial"/>
        </w:rPr>
        <w:t>e</w:t>
      </w:r>
      <w:r>
        <w:rPr>
          <w:rFonts w:cs="Arial"/>
        </w:rPr>
        <w:t xml:space="preserve"> de fechas 30/1/12,</w:t>
      </w:r>
      <w:r w:rsidR="00F63B34">
        <w:rPr>
          <w:rFonts w:cs="Arial"/>
        </w:rPr>
        <w:t xml:space="preserve"> </w:t>
      </w:r>
      <w:r>
        <w:rPr>
          <w:rFonts w:cs="Arial"/>
        </w:rPr>
        <w:t>24/9/12, 18/3/13</w:t>
      </w:r>
      <w:r w:rsidR="000D50EB" w:rsidRPr="000D50EB">
        <w:rPr>
          <w:rFonts w:cs="Arial"/>
        </w:rPr>
        <w:t xml:space="preserve"> </w:t>
      </w:r>
      <w:r w:rsidR="000D50EB">
        <w:rPr>
          <w:rFonts w:cs="Arial"/>
        </w:rPr>
        <w:t>y</w:t>
      </w:r>
      <w:r>
        <w:rPr>
          <w:rFonts w:cs="Arial"/>
        </w:rPr>
        <w:t xml:space="preserve"> 23/12/13;</w:t>
      </w:r>
    </w:p>
    <w:p w:rsidR="00EB3C4F" w:rsidRDefault="00405368" w:rsidP="00F63B34">
      <w:pPr>
        <w:spacing w:line="360" w:lineRule="auto"/>
        <w:ind w:firstLine="2694"/>
        <w:jc w:val="both"/>
        <w:rPr>
          <w:rFonts w:cs="Arial"/>
        </w:rPr>
      </w:pPr>
      <w:r w:rsidRPr="00F63B34">
        <w:rPr>
          <w:rFonts w:cs="Arial"/>
          <w:b/>
        </w:rPr>
        <w:t>5)</w:t>
      </w:r>
      <w:r>
        <w:rPr>
          <w:rFonts w:cs="Arial"/>
        </w:rPr>
        <w:t xml:space="preserve"> que en la oportunidad, se remite una nueva prórroga convalidada por Resolución de fecha 3/2/14 a partir del 1/12/13 y por el término de 38 días, mientras se culmina  el trámite del nuevo llamado;</w:t>
      </w:r>
    </w:p>
    <w:p w:rsidR="00EB3C4F" w:rsidRDefault="00405368" w:rsidP="00F63B34">
      <w:pPr>
        <w:spacing w:line="360" w:lineRule="auto"/>
        <w:ind w:firstLine="2694"/>
        <w:jc w:val="both"/>
        <w:rPr>
          <w:rFonts w:cs="Arial"/>
        </w:rPr>
      </w:pPr>
      <w:r w:rsidRPr="00F63B34">
        <w:rPr>
          <w:rFonts w:cs="Arial"/>
          <w:b/>
        </w:rPr>
        <w:t>6)</w:t>
      </w:r>
      <w:r>
        <w:rPr>
          <w:rFonts w:cs="Arial"/>
        </w:rPr>
        <w:t xml:space="preserve"> que la erogación de $ 466.138 se atenderá con cargo a la Actividad 308040106, Referencia 165145 que no cuenta con disponibilidad presupuestal;</w:t>
      </w:r>
    </w:p>
    <w:p w:rsidR="00EB3C4F" w:rsidRDefault="00405368" w:rsidP="00F63B34">
      <w:pPr>
        <w:spacing w:line="360" w:lineRule="auto"/>
        <w:ind w:firstLine="708"/>
        <w:jc w:val="both"/>
        <w:rPr>
          <w:rFonts w:cs="Arial"/>
        </w:rPr>
      </w:pPr>
      <w:r>
        <w:rPr>
          <w:rFonts w:cs="Arial"/>
          <w:b/>
          <w:bCs/>
        </w:rPr>
        <w:t>CONSIDERANDO:</w:t>
      </w:r>
      <w:r>
        <w:rPr>
          <w:rFonts w:cs="Arial"/>
        </w:rPr>
        <w:t xml:space="preserve"> </w:t>
      </w:r>
      <w:r w:rsidRPr="00F63B34">
        <w:rPr>
          <w:rFonts w:cs="Arial"/>
          <w:b/>
        </w:rPr>
        <w:t>1)</w:t>
      </w:r>
      <w:r>
        <w:rPr>
          <w:rFonts w:cs="Arial"/>
        </w:rPr>
        <w:t xml:space="preserve"> que la prórroga de referencia es alcanzada por la misma causal de observación (en cuanto al procedimiento de contratación) que motivó el pronunciamiento de este Tribunal de fecha </w:t>
      </w:r>
      <w:r>
        <w:t xml:space="preserve">26/08/10 </w:t>
      </w:r>
      <w:r>
        <w:rPr>
          <w:rFonts w:cs="Arial"/>
        </w:rPr>
        <w:t>respecto del Convenio principal, dado que implica la continuidad de éste;</w:t>
      </w:r>
    </w:p>
    <w:p w:rsidR="00EB3C4F" w:rsidRDefault="00F63B34" w:rsidP="00F63B34">
      <w:pPr>
        <w:spacing w:line="360" w:lineRule="auto"/>
        <w:ind w:firstLine="2835"/>
        <w:jc w:val="both"/>
        <w:rPr>
          <w:rFonts w:cs="Arial"/>
        </w:rPr>
      </w:pPr>
      <w:r>
        <w:rPr>
          <w:rFonts w:cs="Arial"/>
          <w:b/>
        </w:rPr>
        <w:t xml:space="preserve"> </w:t>
      </w:r>
      <w:r w:rsidR="00405368" w:rsidRPr="00F63B34">
        <w:rPr>
          <w:rFonts w:cs="Arial"/>
          <w:b/>
        </w:rPr>
        <w:t>2)</w:t>
      </w:r>
      <w:r w:rsidR="00405368">
        <w:rPr>
          <w:rFonts w:cs="Arial"/>
        </w:rPr>
        <w:t xml:space="preserve"> que a su vez, de acuerdo </w:t>
      </w:r>
      <w:r w:rsidR="000D50EB">
        <w:rPr>
          <w:rFonts w:cs="Arial"/>
        </w:rPr>
        <w:t>con</w:t>
      </w:r>
      <w:r w:rsidR="00405368">
        <w:rPr>
          <w:rFonts w:cs="Arial"/>
        </w:rPr>
        <w:t xml:space="preserve"> los pliegos que rigieron el llamado  el pla</w:t>
      </w:r>
      <w:r>
        <w:rPr>
          <w:rFonts w:cs="Arial"/>
        </w:rPr>
        <w:t>zo del convenio sería de un año</w:t>
      </w:r>
      <w:r w:rsidR="00405368">
        <w:rPr>
          <w:rFonts w:cs="Arial"/>
        </w:rPr>
        <w:t>, pudiendo renovarse por un mismo período en caso de evaluación de gestión favorable;</w:t>
      </w:r>
    </w:p>
    <w:p w:rsidR="00EB3C4F" w:rsidRDefault="00F63B34" w:rsidP="00F63B34">
      <w:pPr>
        <w:spacing w:line="360" w:lineRule="auto"/>
        <w:ind w:firstLine="2835"/>
        <w:jc w:val="both"/>
        <w:rPr>
          <w:rFonts w:cs="Arial"/>
        </w:rPr>
      </w:pPr>
      <w:r>
        <w:rPr>
          <w:rFonts w:cs="Arial"/>
          <w:b/>
        </w:rPr>
        <w:t xml:space="preserve"> </w:t>
      </w:r>
      <w:r w:rsidR="00405368" w:rsidRPr="00F63B34">
        <w:rPr>
          <w:rFonts w:cs="Arial"/>
          <w:b/>
        </w:rPr>
        <w:t>3)</w:t>
      </w:r>
      <w:r w:rsidR="00405368">
        <w:rPr>
          <w:rFonts w:cs="Arial"/>
        </w:rPr>
        <w:t xml:space="preserve"> que las actuaciones derivadas de la presente prórroga se remiten con principio de ejecución que inhibe la intervención preventiva que compete a este Tribunal;</w:t>
      </w:r>
    </w:p>
    <w:p w:rsidR="00EB3C4F" w:rsidRDefault="00405368" w:rsidP="00405368">
      <w:pPr>
        <w:spacing w:line="360" w:lineRule="auto"/>
        <w:ind w:firstLine="2835"/>
        <w:jc w:val="both"/>
        <w:rPr>
          <w:rFonts w:cs="Arial"/>
        </w:rPr>
      </w:pPr>
      <w:r>
        <w:rPr>
          <w:rFonts w:cs="Arial"/>
          <w:b/>
        </w:rPr>
        <w:t xml:space="preserve"> </w:t>
      </w:r>
      <w:r w:rsidRPr="00405368">
        <w:rPr>
          <w:rFonts w:cs="Arial"/>
          <w:b/>
        </w:rPr>
        <w:t>4)</w:t>
      </w:r>
      <w:r>
        <w:rPr>
          <w:rFonts w:cs="Arial"/>
        </w:rPr>
        <w:t xml:space="preserve"> que de acuerdo </w:t>
      </w:r>
      <w:r w:rsidR="000D50EB">
        <w:rPr>
          <w:rFonts w:cs="Arial"/>
        </w:rPr>
        <w:t>con</w:t>
      </w:r>
      <w:r>
        <w:rPr>
          <w:rFonts w:cs="Arial"/>
        </w:rPr>
        <w:t xml:space="preserve"> lo establecido por el Artículo 15 del TOCAF, no puede comprometerse un gasto sin que exista crédito disponible;</w:t>
      </w:r>
    </w:p>
    <w:p w:rsidR="00EB3C4F" w:rsidRDefault="00405368" w:rsidP="00405368">
      <w:pPr>
        <w:spacing w:line="360" w:lineRule="auto"/>
        <w:ind w:firstLine="708"/>
        <w:jc w:val="both"/>
        <w:rPr>
          <w:rFonts w:cs="Arial"/>
        </w:rPr>
      </w:pPr>
      <w:r>
        <w:rPr>
          <w:rFonts w:cs="Arial"/>
          <w:b/>
          <w:bCs/>
        </w:rPr>
        <w:t xml:space="preserve">ATENTO: </w:t>
      </w:r>
      <w:r>
        <w:rPr>
          <w:rFonts w:cs="Arial"/>
        </w:rPr>
        <w:t>a lo precedentemente expuesto, y a lo dispuesto por el Artículo  211 Literal B) de la Constitución de la República;</w:t>
      </w:r>
    </w:p>
    <w:p w:rsidR="00202991" w:rsidRDefault="00202991">
      <w:pPr>
        <w:pStyle w:val="Ttulo1"/>
        <w:spacing w:line="360" w:lineRule="auto"/>
      </w:pPr>
    </w:p>
    <w:p w:rsidR="00EB3C4F" w:rsidRDefault="00405368">
      <w:pPr>
        <w:pStyle w:val="Ttulo1"/>
        <w:spacing w:line="360" w:lineRule="auto"/>
      </w:pPr>
      <w:r>
        <w:t>EL TRIBUNAL ACUERDA</w:t>
      </w:r>
    </w:p>
    <w:p w:rsidR="00EB3C4F" w:rsidRDefault="00405368" w:rsidP="00405368">
      <w:pPr>
        <w:pStyle w:val="Textoindependiente"/>
        <w:rPr>
          <w:rFonts w:cs="Arial"/>
        </w:rPr>
      </w:pPr>
      <w:r w:rsidRPr="00405368">
        <w:rPr>
          <w:rFonts w:cs="Arial"/>
          <w:b/>
        </w:rPr>
        <w:t>1)</w:t>
      </w:r>
      <w:r>
        <w:rPr>
          <w:rFonts w:cs="Arial"/>
        </w:rPr>
        <w:t xml:space="preserve"> Observar el gasto de $ 466.138; y</w:t>
      </w:r>
    </w:p>
    <w:p w:rsidR="00EB3C4F" w:rsidRDefault="00405368" w:rsidP="00405368">
      <w:pPr>
        <w:spacing w:line="360" w:lineRule="auto"/>
        <w:jc w:val="both"/>
        <w:rPr>
          <w:rFonts w:cs="Arial"/>
        </w:rPr>
      </w:pPr>
      <w:r w:rsidRPr="00405368">
        <w:rPr>
          <w:rFonts w:cs="Arial"/>
          <w:b/>
        </w:rPr>
        <w:t>2)</w:t>
      </w:r>
      <w:r>
        <w:rPr>
          <w:rFonts w:cs="Arial"/>
        </w:rPr>
        <w:t xml:space="preserve"> Devolver las actuaciones.</w:t>
      </w:r>
    </w:p>
    <w:p w:rsidR="00202991" w:rsidRDefault="00202991" w:rsidP="00405368">
      <w:pPr>
        <w:spacing w:line="360" w:lineRule="auto"/>
        <w:jc w:val="both"/>
        <w:rPr>
          <w:rFonts w:cs="Arial"/>
        </w:rPr>
      </w:pPr>
    </w:p>
    <w:p w:rsidR="00202991" w:rsidRDefault="00202991" w:rsidP="00405368">
      <w:pPr>
        <w:spacing w:line="360" w:lineRule="auto"/>
        <w:jc w:val="both"/>
        <w:rPr>
          <w:rFonts w:cs="Arial"/>
        </w:rPr>
      </w:pPr>
    </w:p>
    <w:p w:rsidR="00202991" w:rsidRDefault="00202991" w:rsidP="00405368">
      <w:pPr>
        <w:spacing w:line="360" w:lineRule="auto"/>
        <w:jc w:val="both"/>
        <w:rPr>
          <w:rFonts w:cs="Arial"/>
        </w:rPr>
      </w:pPr>
    </w:p>
    <w:p w:rsidR="00202991" w:rsidRDefault="00202991" w:rsidP="00405368">
      <w:pPr>
        <w:spacing w:line="360" w:lineRule="auto"/>
        <w:jc w:val="both"/>
        <w:rPr>
          <w:rFonts w:cs="Arial"/>
        </w:rPr>
      </w:pPr>
    </w:p>
    <w:p w:rsidR="00202991" w:rsidRDefault="00202991" w:rsidP="00405368">
      <w:pPr>
        <w:spacing w:line="360" w:lineRule="auto"/>
        <w:jc w:val="both"/>
        <w:rPr>
          <w:rFonts w:cs="Arial"/>
        </w:rPr>
      </w:pPr>
    </w:p>
    <w:p w:rsidR="00202991" w:rsidRDefault="00202991" w:rsidP="00405368">
      <w:pPr>
        <w:spacing w:line="360" w:lineRule="auto"/>
        <w:jc w:val="both"/>
        <w:rPr>
          <w:rFonts w:cs="Arial"/>
        </w:rPr>
      </w:pPr>
    </w:p>
    <w:p w:rsidR="00202991" w:rsidRDefault="00202991" w:rsidP="00405368">
      <w:pPr>
        <w:spacing w:line="360" w:lineRule="auto"/>
        <w:jc w:val="both"/>
        <w:rPr>
          <w:rFonts w:cs="Arial"/>
        </w:rPr>
      </w:pPr>
    </w:p>
    <w:p w:rsidR="00202991" w:rsidRDefault="00202991" w:rsidP="00405368">
      <w:pPr>
        <w:spacing w:line="360" w:lineRule="auto"/>
        <w:jc w:val="both"/>
        <w:rPr>
          <w:rFonts w:cs="Arial"/>
        </w:rPr>
      </w:pPr>
    </w:p>
    <w:p w:rsidR="00202991" w:rsidRDefault="00202991" w:rsidP="00405368">
      <w:pPr>
        <w:spacing w:line="360" w:lineRule="auto"/>
        <w:jc w:val="both"/>
        <w:rPr>
          <w:rFonts w:cs="Arial"/>
        </w:rPr>
      </w:pPr>
    </w:p>
    <w:p w:rsidR="00202991" w:rsidRDefault="00202991" w:rsidP="00405368">
      <w:pPr>
        <w:spacing w:line="360" w:lineRule="auto"/>
        <w:jc w:val="both"/>
        <w:rPr>
          <w:rFonts w:cs="Arial"/>
        </w:rPr>
      </w:pPr>
    </w:p>
    <w:p w:rsidR="00405368" w:rsidRDefault="00405368" w:rsidP="00405368">
      <w:pPr>
        <w:spacing w:line="360" w:lineRule="auto"/>
        <w:jc w:val="both"/>
        <w:rPr>
          <w:rFonts w:cs="Arial"/>
        </w:rPr>
      </w:pPr>
    </w:p>
    <w:p w:rsidR="00405368" w:rsidRDefault="00405368" w:rsidP="00405368">
      <w:pPr>
        <w:spacing w:line="360" w:lineRule="auto"/>
        <w:jc w:val="both"/>
        <w:rPr>
          <w:rFonts w:cs="Arial"/>
        </w:rPr>
      </w:pPr>
    </w:p>
    <w:p w:rsidR="00405368" w:rsidRDefault="00405368" w:rsidP="00405368">
      <w:pPr>
        <w:spacing w:line="360" w:lineRule="auto"/>
        <w:jc w:val="both"/>
        <w:rPr>
          <w:rFonts w:cs="Arial"/>
        </w:rPr>
      </w:pPr>
    </w:p>
    <w:p w:rsidR="00405368" w:rsidRDefault="00405368" w:rsidP="00405368">
      <w:pPr>
        <w:spacing w:line="360" w:lineRule="auto"/>
        <w:jc w:val="both"/>
        <w:rPr>
          <w:rFonts w:cs="Arial"/>
        </w:rPr>
      </w:pPr>
    </w:p>
    <w:p w:rsidR="00405368" w:rsidRDefault="00405368" w:rsidP="00405368">
      <w:pPr>
        <w:spacing w:line="360" w:lineRule="auto"/>
        <w:jc w:val="both"/>
        <w:rPr>
          <w:rFonts w:cs="Arial"/>
        </w:rPr>
      </w:pPr>
    </w:p>
    <w:p w:rsidR="00405368" w:rsidRDefault="00405368" w:rsidP="00405368">
      <w:pPr>
        <w:spacing w:line="360" w:lineRule="auto"/>
        <w:jc w:val="both"/>
        <w:rPr>
          <w:rFonts w:cs="Arial"/>
        </w:rPr>
      </w:pPr>
    </w:p>
    <w:p w:rsidR="00405368" w:rsidRDefault="00405368" w:rsidP="00405368">
      <w:pPr>
        <w:spacing w:line="360" w:lineRule="auto"/>
        <w:jc w:val="both"/>
        <w:rPr>
          <w:rFonts w:cs="Arial"/>
        </w:rPr>
      </w:pPr>
    </w:p>
    <w:p w:rsidR="00405368" w:rsidRDefault="00405368" w:rsidP="00405368">
      <w:pPr>
        <w:spacing w:line="360" w:lineRule="auto"/>
        <w:jc w:val="both"/>
        <w:rPr>
          <w:rFonts w:cs="Arial"/>
        </w:rPr>
      </w:pPr>
      <w:proofErr w:type="spellStart"/>
      <w:proofErr w:type="gramStart"/>
      <w:r>
        <w:rPr>
          <w:rFonts w:cs="Arial"/>
        </w:rPr>
        <w:t>cr</w:t>
      </w:r>
      <w:proofErr w:type="spellEnd"/>
      <w:proofErr w:type="gramEnd"/>
    </w:p>
    <w:sectPr w:rsidR="00405368" w:rsidSect="00405368">
      <w:pgSz w:w="11906" w:h="16838" w:code="9"/>
      <w:pgMar w:top="3402"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9F4FC1"/>
    <w:multiLevelType w:val="hybridMultilevel"/>
    <w:tmpl w:val="390A945A"/>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BA5"/>
    <w:rsid w:val="000B5D4A"/>
    <w:rsid w:val="000D50EB"/>
    <w:rsid w:val="00202991"/>
    <w:rsid w:val="00405368"/>
    <w:rsid w:val="00700606"/>
    <w:rsid w:val="00863BA5"/>
    <w:rsid w:val="00EB3C4F"/>
    <w:rsid w:val="00F63B3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lang w:val="es-ES" w:eastAsia="es-ES"/>
    </w:rPr>
  </w:style>
  <w:style w:type="paragraph" w:styleId="Ttulo1">
    <w:name w:val="heading 1"/>
    <w:basedOn w:val="Normal"/>
    <w:next w:val="Normal"/>
    <w:qFormat/>
    <w:pPr>
      <w:keepNext/>
      <w:jc w:val="center"/>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pPr>
      <w:spacing w:line="360" w:lineRule="auto"/>
      <w:jc w:val="both"/>
    </w:pPr>
  </w:style>
  <w:style w:type="paragraph" w:styleId="Textoindependiente2">
    <w:name w:val="Body Text 2"/>
    <w:basedOn w:val="Normal"/>
    <w:semiHidden/>
    <w:pPr>
      <w:spacing w:line="360" w:lineRule="auto"/>
      <w:jc w:val="both"/>
    </w:pPr>
    <w:rPr>
      <w:rFonts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lang w:val="es-ES" w:eastAsia="es-ES"/>
    </w:rPr>
  </w:style>
  <w:style w:type="paragraph" w:styleId="Ttulo1">
    <w:name w:val="heading 1"/>
    <w:basedOn w:val="Normal"/>
    <w:next w:val="Normal"/>
    <w:qFormat/>
    <w:pPr>
      <w:keepNext/>
      <w:jc w:val="center"/>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pPr>
      <w:spacing w:line="360" w:lineRule="auto"/>
      <w:jc w:val="both"/>
    </w:pPr>
  </w:style>
  <w:style w:type="paragraph" w:styleId="Textoindependiente2">
    <w:name w:val="Body Text 2"/>
    <w:basedOn w:val="Normal"/>
    <w:semiHidden/>
    <w:pPr>
      <w:spacing w:line="360" w:lineRule="auto"/>
      <w:jc w:val="both"/>
    </w:pPr>
    <w:rPr>
      <w:rFonts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562</Words>
  <Characters>2905</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CARPETA Nº 216353</vt:lpstr>
    </vt:vector>
  </TitlesOfParts>
  <Company>Tribunal de Cuentas de la República</Company>
  <LinksUpToDate>false</LinksUpToDate>
  <CharactersWithSpaces>3461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Nº 216353</dc:title>
  <dc:subject/>
  <dc:creator>TRIBUNAL1</dc:creator>
  <cp:keywords/>
  <dc:description/>
  <cp:lastModifiedBy>tribunal1</cp:lastModifiedBy>
  <cp:revision>3</cp:revision>
  <cp:lastPrinted>2014-02-27T14:35:00Z</cp:lastPrinted>
  <dcterms:created xsi:type="dcterms:W3CDTF">2014-02-27T14:35:00Z</dcterms:created>
  <dcterms:modified xsi:type="dcterms:W3CDTF">2014-02-27T16:19:00Z</dcterms:modified>
</cp:coreProperties>
</file>