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2AD" w:rsidRPr="007922AD" w:rsidRDefault="007922AD">
      <w:pPr>
        <w:tabs>
          <w:tab w:val="center" w:pos="4253"/>
        </w:tabs>
        <w:suppressAutoHyphens/>
        <w:jc w:val="center"/>
        <w:rPr>
          <w:rFonts w:ascii="Helvetica" w:hAnsi="Helvetica"/>
          <w:lang w:val="es-ES_tradnl"/>
        </w:rPr>
      </w:pPr>
      <w:r w:rsidRPr="007922AD">
        <w:rPr>
          <w:rFonts w:ascii="Helvetica" w:hAnsi="Helvetica"/>
          <w:lang w:val="es-ES_tradnl"/>
        </w:rPr>
        <w:t>RESOLUCION ADOPTADA POR EL</w:t>
      </w:r>
    </w:p>
    <w:p w:rsidR="007922AD" w:rsidRPr="007922AD" w:rsidRDefault="007922AD">
      <w:pPr>
        <w:tabs>
          <w:tab w:val="left" w:pos="-720"/>
        </w:tabs>
        <w:suppressAutoHyphens/>
        <w:jc w:val="center"/>
        <w:rPr>
          <w:rFonts w:ascii="Helvetica" w:hAnsi="Helvetica"/>
          <w:lang w:val="es-ES_tradnl"/>
        </w:rPr>
      </w:pPr>
    </w:p>
    <w:p w:rsidR="007922AD" w:rsidRPr="007922AD" w:rsidRDefault="007922AD">
      <w:pPr>
        <w:tabs>
          <w:tab w:val="center" w:pos="4253"/>
        </w:tabs>
        <w:suppressAutoHyphens/>
        <w:jc w:val="center"/>
        <w:rPr>
          <w:rFonts w:ascii="Helvetica" w:hAnsi="Helvetica"/>
          <w:lang w:val="es-ES_tradnl"/>
        </w:rPr>
      </w:pPr>
      <w:r w:rsidRPr="007922AD">
        <w:rPr>
          <w:rFonts w:ascii="Helvetica" w:hAnsi="Helvetica"/>
          <w:lang w:val="es-ES_tradnl"/>
        </w:rPr>
        <w:t>TRIBUNAL DE CUENTAS</w:t>
      </w:r>
    </w:p>
    <w:p w:rsidR="007922AD" w:rsidRPr="007922AD" w:rsidRDefault="007922AD">
      <w:pPr>
        <w:tabs>
          <w:tab w:val="left" w:pos="-720"/>
        </w:tabs>
        <w:suppressAutoHyphens/>
        <w:jc w:val="center"/>
        <w:rPr>
          <w:rFonts w:ascii="Helvetica" w:hAnsi="Helvetica"/>
          <w:lang w:val="es-ES_tradnl"/>
        </w:rPr>
      </w:pPr>
    </w:p>
    <w:p w:rsidR="007922AD" w:rsidRPr="007922AD" w:rsidRDefault="007922AD">
      <w:pPr>
        <w:tabs>
          <w:tab w:val="center" w:pos="4253"/>
        </w:tabs>
        <w:suppressAutoHyphens/>
        <w:jc w:val="center"/>
        <w:rPr>
          <w:rFonts w:ascii="Helvetica" w:hAnsi="Helvetica"/>
          <w:lang w:val="es-ES_tradnl"/>
        </w:rPr>
      </w:pPr>
      <w:r w:rsidRPr="007922AD">
        <w:rPr>
          <w:rFonts w:ascii="Helvetica" w:hAnsi="Helvetica"/>
          <w:lang w:val="es-ES_tradnl"/>
        </w:rPr>
        <w:t>EN SESION DE FECHA 6 DE MARZO DE 2014</w:t>
      </w:r>
    </w:p>
    <w:p w:rsidR="007922AD" w:rsidRPr="007922AD" w:rsidRDefault="007922AD">
      <w:pPr>
        <w:tabs>
          <w:tab w:val="center" w:pos="4253"/>
        </w:tabs>
        <w:suppressAutoHyphens/>
        <w:jc w:val="center"/>
        <w:rPr>
          <w:rFonts w:ascii="Helvetica" w:hAnsi="Helvetica"/>
          <w:lang w:val="es-ES_tradnl"/>
        </w:rPr>
      </w:pPr>
    </w:p>
    <w:p w:rsidR="007922AD" w:rsidRPr="007922AD" w:rsidRDefault="007922AD">
      <w:pPr>
        <w:tabs>
          <w:tab w:val="center" w:pos="4253"/>
        </w:tabs>
        <w:suppressAutoHyphens/>
        <w:jc w:val="center"/>
        <w:rPr>
          <w:rFonts w:ascii="Helvetica" w:hAnsi="Helvetica"/>
          <w:lang w:val="es-ES_tradnl"/>
        </w:rPr>
      </w:pPr>
      <w:r w:rsidRPr="007922AD">
        <w:rPr>
          <w:rFonts w:ascii="Helvetica" w:hAnsi="Helvetica"/>
          <w:lang w:val="es-ES_tradnl"/>
        </w:rPr>
        <w:t xml:space="preserve">(E. E. Nº </w:t>
      </w:r>
      <w:r w:rsidRPr="007922AD">
        <w:rPr>
          <w:rFonts w:ascii="Arial" w:hAnsi="Arial" w:cs="Arial"/>
          <w:bCs/>
          <w:szCs w:val="24"/>
        </w:rPr>
        <w:t>2014-17-1-0001276</w:t>
      </w:r>
      <w:r w:rsidRPr="007922AD">
        <w:rPr>
          <w:rFonts w:ascii="Helvetica" w:hAnsi="Helvetica"/>
          <w:lang w:val="es-ES_tradnl"/>
        </w:rPr>
        <w:t xml:space="preserve">, </w:t>
      </w:r>
      <w:proofErr w:type="spellStart"/>
      <w:r w:rsidRPr="007922AD">
        <w:rPr>
          <w:rFonts w:ascii="Helvetica" w:hAnsi="Helvetica"/>
          <w:lang w:val="es-ES_tradnl"/>
        </w:rPr>
        <w:t>Ent</w:t>
      </w:r>
      <w:proofErr w:type="spellEnd"/>
      <w:r w:rsidRPr="007922AD">
        <w:rPr>
          <w:rFonts w:ascii="Helvetica" w:hAnsi="Helvetica"/>
          <w:lang w:val="es-ES_tradnl"/>
        </w:rPr>
        <w:t>. N° 951/14)</w:t>
      </w:r>
    </w:p>
    <w:p w:rsidR="007922AD" w:rsidRPr="007922AD" w:rsidRDefault="007922AD">
      <w:pPr>
        <w:tabs>
          <w:tab w:val="center" w:pos="4253"/>
        </w:tabs>
        <w:suppressAutoHyphens/>
        <w:jc w:val="center"/>
        <w:rPr>
          <w:rFonts w:ascii="Arial" w:hAnsi="Arial"/>
          <w:spacing w:val="-3"/>
          <w:lang w:val="es-ES_tradnl"/>
        </w:rPr>
      </w:pPr>
    </w:p>
    <w:p w:rsidR="007922AD" w:rsidRPr="007922AD" w:rsidRDefault="007922AD">
      <w:pPr>
        <w:tabs>
          <w:tab w:val="center" w:pos="4253"/>
        </w:tabs>
        <w:suppressAutoHyphens/>
        <w:rPr>
          <w:rFonts w:ascii="Arial" w:hAnsi="Arial"/>
          <w:spacing w:val="-3"/>
          <w:lang w:val="es-ES_tradnl"/>
        </w:rPr>
      </w:pPr>
    </w:p>
    <w:p w:rsidR="001612B6" w:rsidRPr="007922AD" w:rsidRDefault="00BE5111" w:rsidP="007922AD">
      <w:pPr>
        <w:spacing w:line="360" w:lineRule="auto"/>
        <w:ind w:firstLine="851"/>
        <w:jc w:val="both"/>
        <w:rPr>
          <w:rFonts w:ascii="Arial" w:hAnsi="Arial" w:cs="Arial"/>
          <w:b w:val="0"/>
          <w:bCs/>
          <w:szCs w:val="24"/>
        </w:rPr>
      </w:pPr>
      <w:r w:rsidRPr="007922AD">
        <w:rPr>
          <w:rFonts w:ascii="Arial" w:hAnsi="Arial" w:cs="Arial"/>
          <w:bCs/>
          <w:szCs w:val="24"/>
        </w:rPr>
        <w:t>VISTO:</w:t>
      </w:r>
      <w:r w:rsidRPr="007922AD">
        <w:rPr>
          <w:rFonts w:ascii="Arial" w:hAnsi="Arial" w:cs="Arial"/>
          <w:b w:val="0"/>
          <w:bCs/>
          <w:szCs w:val="24"/>
        </w:rPr>
        <w:t xml:space="preserve"> las nuevas actuaciones remitidas por el </w:t>
      </w:r>
      <w:r w:rsidR="001612B6" w:rsidRPr="007922AD">
        <w:rPr>
          <w:rFonts w:ascii="Arial" w:hAnsi="Arial" w:cs="Arial"/>
          <w:b w:val="0"/>
          <w:bCs/>
          <w:szCs w:val="24"/>
        </w:rPr>
        <w:t>Ministerio de Desarrollo Social relacionadas con el Llamado a Organizaciones de la Sociedad Civil para la ejecución de la instalación, asistencia y atención de Servicio de Orientación, Consulta y Articulación Territorial  (SOCAT) en cuanto</w:t>
      </w:r>
      <w:r w:rsidR="0099109F">
        <w:rPr>
          <w:rFonts w:ascii="Arial" w:hAnsi="Arial" w:cs="Arial"/>
          <w:b w:val="0"/>
          <w:bCs/>
          <w:szCs w:val="24"/>
        </w:rPr>
        <w:t xml:space="preserve"> a </w:t>
      </w:r>
      <w:r w:rsidR="001612B6" w:rsidRPr="007922AD">
        <w:rPr>
          <w:rFonts w:ascii="Arial" w:hAnsi="Arial" w:cs="Arial"/>
          <w:b w:val="0"/>
          <w:bCs/>
          <w:szCs w:val="24"/>
        </w:rPr>
        <w:t>Áreas Territoriales, en el marco de la ejecución del Programa de Apoy</w:t>
      </w:r>
      <w:r w:rsidRPr="007922AD">
        <w:rPr>
          <w:rFonts w:ascii="Arial" w:hAnsi="Arial" w:cs="Arial"/>
          <w:b w:val="0"/>
          <w:bCs/>
          <w:szCs w:val="24"/>
        </w:rPr>
        <w:t xml:space="preserve">o ENIA, Préstamo BID 2414 OC-UR; </w:t>
      </w:r>
    </w:p>
    <w:p w:rsidR="001612B6" w:rsidRPr="007922AD" w:rsidRDefault="00BE5111" w:rsidP="007922AD">
      <w:pPr>
        <w:spacing w:line="360" w:lineRule="auto"/>
        <w:ind w:firstLine="851"/>
        <w:jc w:val="both"/>
        <w:rPr>
          <w:rFonts w:ascii="Arial" w:hAnsi="Arial" w:cs="Arial"/>
          <w:b w:val="0"/>
          <w:bCs/>
          <w:szCs w:val="24"/>
        </w:rPr>
      </w:pPr>
      <w:r w:rsidRPr="007922AD">
        <w:rPr>
          <w:rFonts w:ascii="Arial" w:hAnsi="Arial" w:cs="Arial"/>
          <w:bCs/>
          <w:szCs w:val="24"/>
        </w:rPr>
        <w:t>RESULTANDO:</w:t>
      </w:r>
      <w:r w:rsidRPr="007922AD">
        <w:rPr>
          <w:rFonts w:ascii="Arial" w:hAnsi="Arial" w:cs="Arial"/>
          <w:b w:val="0"/>
          <w:bCs/>
          <w:szCs w:val="24"/>
        </w:rPr>
        <w:t xml:space="preserve"> </w:t>
      </w:r>
      <w:r w:rsidRPr="007922AD">
        <w:rPr>
          <w:rFonts w:ascii="Arial" w:hAnsi="Arial" w:cs="Arial"/>
          <w:bCs/>
          <w:szCs w:val="24"/>
        </w:rPr>
        <w:t>1)</w:t>
      </w:r>
      <w:r w:rsidRPr="007922AD">
        <w:rPr>
          <w:rFonts w:ascii="Arial" w:hAnsi="Arial" w:cs="Arial"/>
          <w:b w:val="0"/>
          <w:bCs/>
          <w:szCs w:val="24"/>
        </w:rPr>
        <w:t xml:space="preserve"> que este Tribunal en Sesión de fecha 24 de octubre de 2012, acordó: </w:t>
      </w:r>
      <w:r w:rsidR="001612B6" w:rsidRPr="007922AD">
        <w:rPr>
          <w:rFonts w:ascii="Arial" w:hAnsi="Arial" w:cs="Arial"/>
          <w:b w:val="0"/>
          <w:szCs w:val="24"/>
        </w:rPr>
        <w:t>“Visto, dictada la Resolución por el Ordenador competente, cométese a la Contadora Delegada en el Ministerio de Desarrollo Social, la intervención del gasto total correspondiente a la adjudicación a la Organización de la Sociedad Civil (O.S.C.) Cooperativa de Estudios y Trabajo PVS (CET-PVS) para la ejecución de la instalación, asistencia y atención de los Servicios de Orientación, Consulta y Articulación Territorial (SOCAT) en el Área Territorial 105504 (Maldonado), con vigencia desde su suscripción hasta el 31 de diciembre de 2012, con renovaciones anuales como máximo hasta el 7 de diciembre de 2015, según el siguiente detalle: Ejercicio 2012</w:t>
      </w:r>
      <w:r w:rsidR="005E3122">
        <w:rPr>
          <w:rFonts w:ascii="Arial" w:hAnsi="Arial" w:cs="Arial"/>
          <w:b w:val="0"/>
          <w:szCs w:val="24"/>
        </w:rPr>
        <w:t>:</w:t>
      </w:r>
      <w:r w:rsidR="001612B6" w:rsidRPr="007922AD">
        <w:rPr>
          <w:rFonts w:ascii="Arial" w:hAnsi="Arial" w:cs="Arial"/>
          <w:b w:val="0"/>
          <w:szCs w:val="24"/>
        </w:rPr>
        <w:t xml:space="preserve"> $ 197.857 y un monto máximo anual de $ 717.428, para los Ejercicios 2013, 2014 y 2015, reajustables de acuerdo con lo establecido en las bases del llamado y abiertos los créditos respectivos. Cométese asimismo el contralor de la imputación al Objeto del Gasto adecuado y la verificación que la Resolución definitiva coincida con las condiciones de contratación que fueron sometidas a este Tribunal (Artículo 8 de la Ordenanza 22/5/1958 en la redacción dada por la </w:t>
      </w:r>
      <w:r w:rsidR="001612B6" w:rsidRPr="007922AD">
        <w:rPr>
          <w:rFonts w:ascii="Arial" w:hAnsi="Arial" w:cs="Arial"/>
          <w:b w:val="0"/>
          <w:szCs w:val="24"/>
        </w:rPr>
        <w:lastRenderedPageBreak/>
        <w:t>Resolución del Tribunal de Cuentas de fecha 16/6/2010). Comuníquese a la Contadora Delegada. Devuélvase”</w:t>
      </w:r>
      <w:r w:rsidRPr="007922AD">
        <w:rPr>
          <w:rFonts w:ascii="Arial" w:hAnsi="Arial" w:cs="Arial"/>
          <w:b w:val="0"/>
          <w:szCs w:val="24"/>
        </w:rPr>
        <w:t xml:space="preserve">; </w:t>
      </w:r>
    </w:p>
    <w:p w:rsidR="00AA7B3A" w:rsidRDefault="00BE5111" w:rsidP="00AA7B3A">
      <w:pPr>
        <w:spacing w:line="360" w:lineRule="auto"/>
        <w:ind w:firstLine="2694"/>
        <w:jc w:val="both"/>
        <w:rPr>
          <w:rFonts w:ascii="Arial" w:hAnsi="Arial" w:cs="Arial"/>
          <w:b w:val="0"/>
          <w:szCs w:val="24"/>
        </w:rPr>
      </w:pPr>
      <w:r w:rsidRPr="00AA7B3A">
        <w:rPr>
          <w:rFonts w:ascii="Arial" w:hAnsi="Arial" w:cs="Arial"/>
          <w:szCs w:val="24"/>
          <w:lang w:val="es-UY"/>
        </w:rPr>
        <w:t>2)</w:t>
      </w:r>
      <w:r w:rsidRPr="007922AD">
        <w:rPr>
          <w:rFonts w:ascii="Arial" w:hAnsi="Arial" w:cs="Arial"/>
          <w:b w:val="0"/>
          <w:szCs w:val="24"/>
          <w:lang w:val="es-UY"/>
        </w:rPr>
        <w:t xml:space="preserve"> que e</w:t>
      </w:r>
      <w:proofErr w:type="spellStart"/>
      <w:r w:rsidR="001612B6" w:rsidRPr="007922AD">
        <w:rPr>
          <w:rFonts w:ascii="Arial" w:hAnsi="Arial" w:cs="Arial"/>
          <w:b w:val="0"/>
          <w:szCs w:val="24"/>
        </w:rPr>
        <w:t>ste</w:t>
      </w:r>
      <w:proofErr w:type="spellEnd"/>
      <w:r w:rsidR="001612B6" w:rsidRPr="007922AD">
        <w:rPr>
          <w:rFonts w:ascii="Arial" w:hAnsi="Arial" w:cs="Arial"/>
          <w:b w:val="0"/>
          <w:szCs w:val="24"/>
        </w:rPr>
        <w:t xml:space="preserve"> Tribunal en Sesión de fecha 31 de julio de 2013,</w:t>
      </w:r>
      <w:r w:rsidR="001612B6" w:rsidRPr="007922AD">
        <w:rPr>
          <w:rFonts w:ascii="Arial" w:hAnsi="Arial" w:cs="Arial"/>
          <w:b w:val="0"/>
          <w:i/>
          <w:szCs w:val="24"/>
        </w:rPr>
        <w:t xml:space="preserve"> </w:t>
      </w:r>
      <w:r w:rsidR="001612B6" w:rsidRPr="007922AD">
        <w:rPr>
          <w:rFonts w:ascii="Arial" w:hAnsi="Arial" w:cs="Arial"/>
          <w:b w:val="0"/>
          <w:szCs w:val="24"/>
        </w:rPr>
        <w:t>acordó: “1) Una vez suscritos los contratos por el Ministerio de Desarrollo Social y las Organizaciones de la Sociedad Civil (Resultandos 4 y 5)</w:t>
      </w:r>
      <w:r w:rsidR="00AA7B3A">
        <w:rPr>
          <w:rFonts w:ascii="Arial" w:hAnsi="Arial" w:cs="Arial"/>
          <w:b w:val="0"/>
          <w:szCs w:val="24"/>
        </w:rPr>
        <w:t>,</w:t>
      </w:r>
      <w:r w:rsidR="001612B6" w:rsidRPr="007922AD">
        <w:rPr>
          <w:rFonts w:ascii="Arial" w:hAnsi="Arial" w:cs="Arial"/>
          <w:b w:val="0"/>
          <w:szCs w:val="24"/>
        </w:rPr>
        <w:t xml:space="preserve"> y dictada la Resolución por el Ordenador competente, cométese a la Contadora Delegada en dicha secretaría de Estado, la intervención del gasto de hasta </w:t>
      </w:r>
      <w:r w:rsidR="00AA7B3A">
        <w:rPr>
          <w:rFonts w:ascii="Arial" w:hAnsi="Arial" w:cs="Arial"/>
          <w:b w:val="0"/>
          <w:szCs w:val="24"/>
        </w:rPr>
        <w:t xml:space="preserve">       </w:t>
      </w:r>
      <w:r w:rsidR="001612B6" w:rsidRPr="007922AD">
        <w:rPr>
          <w:rFonts w:ascii="Arial" w:hAnsi="Arial" w:cs="Arial"/>
          <w:b w:val="0"/>
          <w:szCs w:val="24"/>
        </w:rPr>
        <w:t>$ 956.895, correspondiente al Ejercicio 2013</w:t>
      </w:r>
      <w:r w:rsidR="00AA7B3A">
        <w:rPr>
          <w:rFonts w:ascii="Arial" w:hAnsi="Arial" w:cs="Arial"/>
          <w:b w:val="0"/>
          <w:szCs w:val="24"/>
        </w:rPr>
        <w:t>,</w:t>
      </w:r>
      <w:r w:rsidR="001612B6" w:rsidRPr="007922AD">
        <w:rPr>
          <w:rFonts w:ascii="Arial" w:hAnsi="Arial" w:cs="Arial"/>
          <w:b w:val="0"/>
          <w:szCs w:val="24"/>
        </w:rPr>
        <w:t xml:space="preserve"> y del monto máximo de hasta </w:t>
      </w:r>
      <w:r w:rsidR="00AA7B3A">
        <w:rPr>
          <w:rFonts w:ascii="Arial" w:hAnsi="Arial" w:cs="Arial"/>
          <w:b w:val="0"/>
          <w:szCs w:val="24"/>
        </w:rPr>
        <w:t xml:space="preserve">       </w:t>
      </w:r>
      <w:r w:rsidR="001612B6" w:rsidRPr="007922AD">
        <w:rPr>
          <w:rFonts w:ascii="Arial" w:hAnsi="Arial" w:cs="Arial"/>
          <w:b w:val="0"/>
          <w:szCs w:val="24"/>
        </w:rPr>
        <w:t>$ 2:252.148 para los Ejercicios 2014 y 2015 respectivamente, previo control de su imputación en el objeto del gasto adecuado con disponibilidad suficiente así como el cumplimiento de lo dispuesto en el Art</w:t>
      </w:r>
      <w:r w:rsidR="00AA7B3A">
        <w:rPr>
          <w:rFonts w:ascii="Arial" w:hAnsi="Arial" w:cs="Arial"/>
          <w:b w:val="0"/>
          <w:szCs w:val="24"/>
        </w:rPr>
        <w:t>ículo</w:t>
      </w:r>
      <w:r w:rsidR="001612B6" w:rsidRPr="007922AD">
        <w:rPr>
          <w:rFonts w:ascii="Arial" w:hAnsi="Arial" w:cs="Arial"/>
          <w:b w:val="0"/>
          <w:szCs w:val="24"/>
        </w:rPr>
        <w:t xml:space="preserve"> 3 de la Ley 18.244; </w:t>
      </w:r>
    </w:p>
    <w:p w:rsidR="00AA7B3A" w:rsidRDefault="001612B6" w:rsidP="00AA7B3A">
      <w:pPr>
        <w:spacing w:line="360" w:lineRule="auto"/>
        <w:ind w:firstLine="1560"/>
        <w:jc w:val="both"/>
        <w:rPr>
          <w:rFonts w:ascii="Arial" w:hAnsi="Arial" w:cs="Arial"/>
          <w:b w:val="0"/>
          <w:szCs w:val="24"/>
        </w:rPr>
      </w:pPr>
      <w:r w:rsidRPr="007922AD">
        <w:rPr>
          <w:rFonts w:ascii="Arial" w:hAnsi="Arial" w:cs="Arial"/>
          <w:b w:val="0"/>
          <w:szCs w:val="24"/>
        </w:rPr>
        <w:t xml:space="preserve">2) Asimismo, cométese al Contador Delegado la verificación que la Resolución definitiva concuerde con las condiciones de la contratación sometidas a este Tribunal (Artículo 8 de la Ordenanza Nº 27 de fecha 22 de mayo de 1958, en la redacción sustitutiva dispuesta por la Resolución del 16 de junio de 2010); </w:t>
      </w:r>
    </w:p>
    <w:p w:rsidR="00AA7B3A" w:rsidRDefault="001612B6" w:rsidP="00AA7B3A">
      <w:pPr>
        <w:spacing w:line="360" w:lineRule="auto"/>
        <w:ind w:firstLine="1560"/>
        <w:jc w:val="both"/>
        <w:rPr>
          <w:rFonts w:ascii="Arial" w:hAnsi="Arial" w:cs="Arial"/>
          <w:b w:val="0"/>
          <w:szCs w:val="24"/>
        </w:rPr>
      </w:pPr>
      <w:r w:rsidRPr="007922AD">
        <w:rPr>
          <w:rFonts w:ascii="Arial" w:hAnsi="Arial" w:cs="Arial"/>
          <w:b w:val="0"/>
          <w:szCs w:val="24"/>
        </w:rPr>
        <w:t xml:space="preserve">3) Comunicar al Contador Delegado; </w:t>
      </w:r>
    </w:p>
    <w:p w:rsidR="001612B6" w:rsidRPr="007922AD" w:rsidRDefault="001612B6" w:rsidP="00AA7B3A">
      <w:pPr>
        <w:spacing w:line="360" w:lineRule="auto"/>
        <w:ind w:firstLine="1560"/>
        <w:jc w:val="both"/>
        <w:rPr>
          <w:rFonts w:ascii="Arial" w:hAnsi="Arial" w:cs="Arial"/>
          <w:b w:val="0"/>
          <w:szCs w:val="24"/>
          <w:lang w:val="es-ES_tradnl"/>
        </w:rPr>
      </w:pPr>
      <w:r w:rsidRPr="007922AD">
        <w:rPr>
          <w:rFonts w:ascii="Arial" w:hAnsi="Arial" w:cs="Arial"/>
          <w:b w:val="0"/>
          <w:szCs w:val="24"/>
        </w:rPr>
        <w:t>4) Devolver las actuaciones”</w:t>
      </w:r>
      <w:r w:rsidR="00BE5111" w:rsidRPr="007922AD">
        <w:rPr>
          <w:rFonts w:ascii="Arial" w:hAnsi="Arial" w:cs="Arial"/>
          <w:b w:val="0"/>
          <w:szCs w:val="24"/>
        </w:rPr>
        <w:t xml:space="preserve">; </w:t>
      </w:r>
    </w:p>
    <w:p w:rsidR="00AA7B3A" w:rsidRDefault="00BE5111" w:rsidP="00AA7B3A">
      <w:pPr>
        <w:spacing w:line="360" w:lineRule="auto"/>
        <w:ind w:firstLine="2694"/>
        <w:jc w:val="both"/>
        <w:rPr>
          <w:rFonts w:ascii="Arial" w:hAnsi="Arial" w:cs="Arial"/>
          <w:b w:val="0"/>
          <w:szCs w:val="24"/>
        </w:rPr>
      </w:pPr>
      <w:r w:rsidRPr="00AA7B3A">
        <w:rPr>
          <w:rFonts w:ascii="Arial" w:hAnsi="Arial" w:cs="Arial"/>
          <w:szCs w:val="24"/>
          <w:lang w:val="es-UY"/>
        </w:rPr>
        <w:t>3)</w:t>
      </w:r>
      <w:r w:rsidRPr="007922AD">
        <w:rPr>
          <w:rFonts w:ascii="Arial" w:hAnsi="Arial" w:cs="Arial"/>
          <w:b w:val="0"/>
          <w:szCs w:val="24"/>
          <w:lang w:val="es-UY"/>
        </w:rPr>
        <w:t xml:space="preserve"> que</w:t>
      </w:r>
      <w:r w:rsidRPr="007922AD">
        <w:rPr>
          <w:rFonts w:ascii="Arial" w:hAnsi="Arial" w:cs="Arial"/>
          <w:b w:val="0"/>
          <w:szCs w:val="24"/>
          <w:lang w:val="es-ES_tradnl"/>
        </w:rPr>
        <w:t xml:space="preserve"> e</w:t>
      </w:r>
      <w:r w:rsidR="001612B6" w:rsidRPr="007922AD">
        <w:rPr>
          <w:rFonts w:ascii="Arial" w:hAnsi="Arial" w:cs="Arial"/>
          <w:b w:val="0"/>
          <w:szCs w:val="24"/>
        </w:rPr>
        <w:t xml:space="preserve">ste Tribunal en Sesión de fecha 4 de diciembre de 2013, acordó: “1) No formular observaciones; </w:t>
      </w:r>
    </w:p>
    <w:p w:rsidR="00AA7B3A" w:rsidRDefault="00AA7B3A" w:rsidP="00AA7B3A">
      <w:pPr>
        <w:spacing w:line="360" w:lineRule="auto"/>
        <w:ind w:firstLine="2977"/>
        <w:jc w:val="both"/>
        <w:rPr>
          <w:rFonts w:ascii="Arial" w:hAnsi="Arial" w:cs="Arial"/>
          <w:b w:val="0"/>
          <w:szCs w:val="24"/>
        </w:rPr>
      </w:pPr>
      <w:r>
        <w:rPr>
          <w:rFonts w:ascii="Arial" w:hAnsi="Arial" w:cs="Arial"/>
          <w:b w:val="0"/>
          <w:szCs w:val="24"/>
        </w:rPr>
        <w:t xml:space="preserve"> </w:t>
      </w:r>
      <w:r w:rsidR="001612B6" w:rsidRPr="007922AD">
        <w:rPr>
          <w:rFonts w:ascii="Arial" w:hAnsi="Arial" w:cs="Arial"/>
          <w:b w:val="0"/>
          <w:szCs w:val="24"/>
        </w:rPr>
        <w:t xml:space="preserve">2) Dictada la Resolución por el Ordenador competente, cometer a la Contadora Auditora destacada ante la Secretaría de Estado, la intervención del gasto de hasta $ 68.028.888 para el Ejercicio 2014, y para el Ejercicio 2015 hasta la suma de $ 68.028.888, los que se reajustarán de acuerdo con lo establecido en los términos de referencia, previo control de su imputación en el objeto adecuado con disponibilidad suficiente así como el cumplimiento de lo dispuesto en el Artículo 3 de la Ley 18.244; </w:t>
      </w:r>
    </w:p>
    <w:p w:rsidR="00AA7B3A" w:rsidRDefault="00AA7B3A" w:rsidP="00AA7B3A">
      <w:pPr>
        <w:spacing w:line="360" w:lineRule="auto"/>
        <w:ind w:firstLine="2977"/>
        <w:jc w:val="both"/>
        <w:rPr>
          <w:rFonts w:ascii="Arial" w:hAnsi="Arial" w:cs="Arial"/>
          <w:b w:val="0"/>
          <w:szCs w:val="24"/>
        </w:rPr>
      </w:pPr>
      <w:r>
        <w:rPr>
          <w:rFonts w:ascii="Arial" w:hAnsi="Arial" w:cs="Arial"/>
          <w:b w:val="0"/>
          <w:szCs w:val="24"/>
        </w:rPr>
        <w:t xml:space="preserve"> </w:t>
      </w:r>
      <w:r w:rsidR="001612B6" w:rsidRPr="007922AD">
        <w:rPr>
          <w:rFonts w:ascii="Arial" w:hAnsi="Arial" w:cs="Arial"/>
          <w:b w:val="0"/>
          <w:szCs w:val="24"/>
        </w:rPr>
        <w:t xml:space="preserve">3) Cometer asimismo, la verificación que la Resolución definitiva concuerde con las condiciones de la contratación </w:t>
      </w:r>
      <w:r w:rsidR="001612B6" w:rsidRPr="007922AD">
        <w:rPr>
          <w:rFonts w:ascii="Arial" w:hAnsi="Arial" w:cs="Arial"/>
          <w:b w:val="0"/>
          <w:szCs w:val="24"/>
        </w:rPr>
        <w:lastRenderedPageBreak/>
        <w:t xml:space="preserve">sometidas a este Tribunal (Artículo 8 de la Ordenanza Nº 27 de fecha 22/5/58 en la redacción sustitutiva dispuesta por Resolución de 16/06/2010); </w:t>
      </w:r>
    </w:p>
    <w:p w:rsidR="00AA7B3A" w:rsidRDefault="001612B6" w:rsidP="00AA7B3A">
      <w:pPr>
        <w:spacing w:line="360" w:lineRule="auto"/>
        <w:ind w:firstLine="2977"/>
        <w:jc w:val="both"/>
        <w:rPr>
          <w:rFonts w:ascii="Arial" w:hAnsi="Arial" w:cs="Arial"/>
          <w:b w:val="0"/>
          <w:szCs w:val="24"/>
        </w:rPr>
      </w:pPr>
      <w:r w:rsidRPr="007922AD">
        <w:rPr>
          <w:rFonts w:ascii="Arial" w:hAnsi="Arial" w:cs="Arial"/>
          <w:b w:val="0"/>
          <w:szCs w:val="24"/>
        </w:rPr>
        <w:t xml:space="preserve">4) Comunicar a la Contadora Auditora; </w:t>
      </w:r>
    </w:p>
    <w:p w:rsidR="001612B6" w:rsidRPr="007922AD" w:rsidRDefault="001612B6" w:rsidP="00AA7B3A">
      <w:pPr>
        <w:spacing w:line="360" w:lineRule="auto"/>
        <w:ind w:firstLine="2977"/>
        <w:jc w:val="both"/>
        <w:rPr>
          <w:rFonts w:ascii="Arial" w:hAnsi="Arial" w:cs="Arial"/>
          <w:b w:val="0"/>
          <w:szCs w:val="24"/>
          <w:lang w:val="es-ES_tradnl"/>
        </w:rPr>
      </w:pPr>
      <w:r w:rsidRPr="007922AD">
        <w:rPr>
          <w:rFonts w:ascii="Arial" w:hAnsi="Arial" w:cs="Arial"/>
          <w:b w:val="0"/>
          <w:szCs w:val="24"/>
        </w:rPr>
        <w:t>5) Devolver las actuaciones”</w:t>
      </w:r>
      <w:r w:rsidR="00BE5111" w:rsidRPr="007922AD">
        <w:rPr>
          <w:rFonts w:ascii="Arial" w:hAnsi="Arial" w:cs="Arial"/>
          <w:b w:val="0"/>
          <w:szCs w:val="24"/>
        </w:rPr>
        <w:t xml:space="preserve">; </w:t>
      </w:r>
    </w:p>
    <w:p w:rsidR="001612B6" w:rsidRPr="007922AD" w:rsidRDefault="005D6D3B" w:rsidP="003F519B">
      <w:pPr>
        <w:spacing w:line="360" w:lineRule="auto"/>
        <w:ind w:firstLine="2694"/>
        <w:jc w:val="both"/>
        <w:rPr>
          <w:rFonts w:ascii="Arial" w:hAnsi="Arial" w:cs="Arial"/>
          <w:b w:val="0"/>
          <w:szCs w:val="24"/>
          <w:lang w:val="es-ES_tradnl"/>
        </w:rPr>
      </w:pPr>
      <w:r w:rsidRPr="003F519B">
        <w:rPr>
          <w:rFonts w:ascii="Arial" w:hAnsi="Arial" w:cs="Arial"/>
          <w:szCs w:val="24"/>
          <w:lang w:val="es-UY"/>
        </w:rPr>
        <w:t>4)</w:t>
      </w:r>
      <w:r w:rsidRPr="007922AD">
        <w:rPr>
          <w:rFonts w:ascii="Arial" w:hAnsi="Arial" w:cs="Arial"/>
          <w:b w:val="0"/>
          <w:szCs w:val="24"/>
          <w:lang w:val="es-UY"/>
        </w:rPr>
        <w:t xml:space="preserve"> que  se efectuó la </w:t>
      </w:r>
      <w:r w:rsidR="001612B6" w:rsidRPr="007922AD">
        <w:rPr>
          <w:rFonts w:ascii="Arial" w:hAnsi="Arial" w:cs="Arial"/>
          <w:b w:val="0"/>
          <w:szCs w:val="24"/>
          <w:lang w:val="es-ES_tradnl"/>
        </w:rPr>
        <w:t xml:space="preserve">Intervención preventiva por </w:t>
      </w:r>
      <w:r w:rsidRPr="007922AD">
        <w:rPr>
          <w:rFonts w:ascii="Arial" w:hAnsi="Arial" w:cs="Arial"/>
          <w:b w:val="0"/>
          <w:szCs w:val="24"/>
          <w:lang w:val="es-ES_tradnl"/>
        </w:rPr>
        <w:t xml:space="preserve">parte de </w:t>
      </w:r>
      <w:r w:rsidR="001612B6" w:rsidRPr="007922AD">
        <w:rPr>
          <w:rFonts w:ascii="Arial" w:hAnsi="Arial" w:cs="Arial"/>
          <w:b w:val="0"/>
          <w:szCs w:val="24"/>
          <w:lang w:val="es-ES_tradnl"/>
        </w:rPr>
        <w:t>la Contadora Auditora</w:t>
      </w:r>
      <w:r w:rsidRPr="007922AD">
        <w:rPr>
          <w:rFonts w:ascii="Arial" w:hAnsi="Arial" w:cs="Arial"/>
          <w:b w:val="0"/>
          <w:szCs w:val="24"/>
          <w:lang w:val="es-ES_tradnl"/>
        </w:rPr>
        <w:t xml:space="preserve"> con fecha 7 de enero de 2014; </w:t>
      </w:r>
    </w:p>
    <w:p w:rsidR="004B5B9B" w:rsidRPr="007922AD" w:rsidRDefault="005D6D3B" w:rsidP="003F519B">
      <w:pPr>
        <w:spacing w:line="360" w:lineRule="auto"/>
        <w:ind w:firstLine="2694"/>
        <w:jc w:val="both"/>
        <w:rPr>
          <w:rFonts w:ascii="Arial" w:hAnsi="Arial" w:cs="Arial"/>
          <w:b w:val="0"/>
          <w:szCs w:val="24"/>
          <w:lang w:val="es-UY"/>
        </w:rPr>
      </w:pPr>
      <w:r w:rsidRPr="003F519B">
        <w:rPr>
          <w:rFonts w:ascii="Arial" w:hAnsi="Arial" w:cs="Arial"/>
          <w:szCs w:val="24"/>
          <w:lang w:val="es-UY"/>
        </w:rPr>
        <w:t>5)</w:t>
      </w:r>
      <w:r w:rsidRPr="007922AD">
        <w:rPr>
          <w:rFonts w:ascii="Arial" w:hAnsi="Arial" w:cs="Arial"/>
          <w:b w:val="0"/>
          <w:szCs w:val="24"/>
          <w:lang w:val="es-UY"/>
        </w:rPr>
        <w:t xml:space="preserve"> que</w:t>
      </w:r>
      <w:r w:rsidR="003409DE" w:rsidRPr="007922AD">
        <w:rPr>
          <w:rFonts w:ascii="Arial" w:hAnsi="Arial" w:cs="Arial"/>
          <w:b w:val="0"/>
          <w:szCs w:val="24"/>
          <w:lang w:val="es-UY"/>
        </w:rPr>
        <w:t xml:space="preserve"> posteriormente, se remitieron actuaciones relacionadas con un incremento emergente de la modificación de los Términos de Referencia, y este Tribunal</w:t>
      </w:r>
      <w:r w:rsidR="003F519B">
        <w:rPr>
          <w:rFonts w:ascii="Arial" w:hAnsi="Arial" w:cs="Arial"/>
          <w:b w:val="0"/>
          <w:szCs w:val="24"/>
          <w:lang w:val="es-UY"/>
        </w:rPr>
        <w:t>, en S</w:t>
      </w:r>
      <w:r w:rsidR="003409DE" w:rsidRPr="007922AD">
        <w:rPr>
          <w:rFonts w:ascii="Arial" w:hAnsi="Arial" w:cs="Arial"/>
          <w:b w:val="0"/>
          <w:szCs w:val="24"/>
          <w:lang w:val="es-UY"/>
        </w:rPr>
        <w:t>esión de fecha</w:t>
      </w:r>
      <w:r w:rsidR="007F7B94" w:rsidRPr="007922AD">
        <w:rPr>
          <w:rFonts w:ascii="Arial" w:hAnsi="Arial" w:cs="Arial"/>
          <w:b w:val="0"/>
          <w:szCs w:val="24"/>
          <w:lang w:val="es-UY"/>
        </w:rPr>
        <w:t xml:space="preserve"> 19 de febrero de 2014 </w:t>
      </w:r>
      <w:r w:rsidR="003409DE" w:rsidRPr="007922AD">
        <w:rPr>
          <w:rFonts w:ascii="Arial" w:hAnsi="Arial" w:cs="Arial"/>
          <w:b w:val="0"/>
          <w:szCs w:val="24"/>
          <w:lang w:val="es-UY"/>
        </w:rPr>
        <w:t>acordó no formular observaciones</w:t>
      </w:r>
      <w:r w:rsidR="003F519B">
        <w:rPr>
          <w:rFonts w:ascii="Arial" w:hAnsi="Arial" w:cs="Arial"/>
          <w:b w:val="0"/>
          <w:szCs w:val="24"/>
          <w:lang w:val="es-UY"/>
        </w:rPr>
        <w:t>,</w:t>
      </w:r>
      <w:r w:rsidR="003409DE" w:rsidRPr="007922AD">
        <w:rPr>
          <w:rFonts w:ascii="Arial" w:hAnsi="Arial" w:cs="Arial"/>
          <w:b w:val="0"/>
          <w:szCs w:val="24"/>
          <w:lang w:val="es-UY"/>
        </w:rPr>
        <w:t xml:space="preserve"> y dictada la Resolución por el</w:t>
      </w:r>
      <w:r w:rsidR="000829A0">
        <w:rPr>
          <w:rFonts w:ascii="Arial" w:hAnsi="Arial" w:cs="Arial"/>
          <w:b w:val="0"/>
          <w:szCs w:val="24"/>
          <w:lang w:val="es-UY"/>
        </w:rPr>
        <w:t xml:space="preserve"> Ordenador c</w:t>
      </w:r>
      <w:r w:rsidR="003409DE" w:rsidRPr="007922AD">
        <w:rPr>
          <w:rFonts w:ascii="Arial" w:hAnsi="Arial" w:cs="Arial"/>
          <w:b w:val="0"/>
          <w:szCs w:val="24"/>
          <w:lang w:val="es-UY"/>
        </w:rPr>
        <w:t>ompeten</w:t>
      </w:r>
      <w:r w:rsidR="004B5B9B" w:rsidRPr="007922AD">
        <w:rPr>
          <w:rFonts w:ascii="Arial" w:hAnsi="Arial" w:cs="Arial"/>
          <w:b w:val="0"/>
          <w:szCs w:val="24"/>
          <w:lang w:val="es-UY"/>
        </w:rPr>
        <w:t>te, cometer al C</w:t>
      </w:r>
      <w:r w:rsidR="003F519B">
        <w:rPr>
          <w:rFonts w:ascii="Arial" w:hAnsi="Arial" w:cs="Arial"/>
          <w:b w:val="0"/>
          <w:szCs w:val="24"/>
          <w:lang w:val="es-UY"/>
        </w:rPr>
        <w:t>ontado</w:t>
      </w:r>
      <w:r w:rsidR="004B5B9B" w:rsidRPr="007922AD">
        <w:rPr>
          <w:rFonts w:ascii="Arial" w:hAnsi="Arial" w:cs="Arial"/>
          <w:b w:val="0"/>
          <w:szCs w:val="24"/>
          <w:lang w:val="es-UY"/>
        </w:rPr>
        <w:t>r Auditor la intervención de los montos referentes al incremento emergente de la modificación, ascendiendo a la suma de $ 6:477.542 para el Ejercicio 2014 y de $ 7:002.732 para el Ejercicio 2015, así como la verificación que la Resolución definitiva concuerde con las condiciones de contratación sometidas a este Tribunal;</w:t>
      </w:r>
    </w:p>
    <w:p w:rsidR="000F7750" w:rsidRPr="007922AD" w:rsidRDefault="00117D93" w:rsidP="003F519B">
      <w:pPr>
        <w:spacing w:line="360" w:lineRule="auto"/>
        <w:ind w:firstLine="2694"/>
        <w:jc w:val="both"/>
        <w:rPr>
          <w:rFonts w:ascii="Arial" w:hAnsi="Arial" w:cs="Arial"/>
          <w:b w:val="0"/>
          <w:szCs w:val="24"/>
          <w:lang w:val="es-ES_tradnl"/>
        </w:rPr>
      </w:pPr>
      <w:r w:rsidRPr="003F519B">
        <w:rPr>
          <w:rFonts w:ascii="Arial" w:hAnsi="Arial" w:cs="Arial"/>
          <w:szCs w:val="24"/>
          <w:lang w:val="es-UY"/>
        </w:rPr>
        <w:t>6)</w:t>
      </w:r>
      <w:r w:rsidRPr="007922AD">
        <w:rPr>
          <w:rFonts w:ascii="Arial" w:hAnsi="Arial" w:cs="Arial"/>
          <w:b w:val="0"/>
          <w:szCs w:val="24"/>
          <w:lang w:val="es-UY"/>
        </w:rPr>
        <w:t xml:space="preserve"> que</w:t>
      </w:r>
      <w:r w:rsidRPr="007922AD">
        <w:rPr>
          <w:rFonts w:ascii="Arial" w:hAnsi="Arial" w:cs="Arial"/>
          <w:b w:val="0"/>
          <w:szCs w:val="24"/>
          <w:lang w:val="es-ES_tradnl"/>
        </w:rPr>
        <w:t xml:space="preserve"> </w:t>
      </w:r>
      <w:r w:rsidR="000F7750" w:rsidRPr="007922AD">
        <w:rPr>
          <w:rFonts w:ascii="Arial" w:hAnsi="Arial" w:cs="Arial"/>
          <w:b w:val="0"/>
          <w:szCs w:val="24"/>
          <w:lang w:val="es-ES_tradnl"/>
        </w:rPr>
        <w:t>se dictó Resolución definitiva por el Poder Ejecutivo con fecha 23 de diciembre de 2013;</w:t>
      </w:r>
    </w:p>
    <w:p w:rsidR="0092063D" w:rsidRPr="007922AD" w:rsidRDefault="005C0CDE" w:rsidP="003F519B">
      <w:pPr>
        <w:spacing w:line="360" w:lineRule="auto"/>
        <w:ind w:firstLine="2694"/>
        <w:jc w:val="both"/>
        <w:rPr>
          <w:rFonts w:ascii="Arial" w:hAnsi="Arial" w:cs="Arial"/>
          <w:b w:val="0"/>
          <w:szCs w:val="24"/>
          <w:lang w:val="es-ES_tradnl"/>
        </w:rPr>
      </w:pPr>
      <w:r w:rsidRPr="003F519B">
        <w:rPr>
          <w:rFonts w:ascii="Arial" w:hAnsi="Arial" w:cs="Arial"/>
          <w:szCs w:val="24"/>
          <w:lang w:val="es-ES_tradnl"/>
        </w:rPr>
        <w:t>7)</w:t>
      </w:r>
      <w:r w:rsidRPr="007922AD">
        <w:rPr>
          <w:rFonts w:ascii="Arial" w:hAnsi="Arial" w:cs="Arial"/>
          <w:b w:val="0"/>
          <w:szCs w:val="24"/>
          <w:lang w:val="es-ES_tradnl"/>
        </w:rPr>
        <w:t xml:space="preserve"> que</w:t>
      </w:r>
      <w:r w:rsidR="00E56B0C" w:rsidRPr="007922AD">
        <w:rPr>
          <w:rFonts w:ascii="Arial" w:hAnsi="Arial" w:cs="Arial"/>
          <w:b w:val="0"/>
          <w:szCs w:val="24"/>
          <w:lang w:val="es-ES_tradnl"/>
        </w:rPr>
        <w:t xml:space="preserve">, en esta oportunidad, </w:t>
      </w:r>
      <w:r w:rsidRPr="007922AD">
        <w:rPr>
          <w:rFonts w:ascii="Arial" w:hAnsi="Arial" w:cs="Arial"/>
          <w:b w:val="0"/>
          <w:szCs w:val="24"/>
          <w:lang w:val="es-ES_tradnl"/>
        </w:rPr>
        <w:t xml:space="preserve"> </w:t>
      </w:r>
      <w:r w:rsidR="00E56B0C" w:rsidRPr="007922AD">
        <w:rPr>
          <w:rFonts w:ascii="Arial" w:hAnsi="Arial" w:cs="Arial"/>
          <w:b w:val="0"/>
          <w:szCs w:val="24"/>
          <w:lang w:val="es-ES_tradnl"/>
        </w:rPr>
        <w:t xml:space="preserve">se adjuntan </w:t>
      </w:r>
      <w:r w:rsidRPr="007922AD">
        <w:rPr>
          <w:rFonts w:ascii="Arial" w:hAnsi="Arial" w:cs="Arial"/>
          <w:b w:val="0"/>
          <w:szCs w:val="24"/>
          <w:lang w:val="es-ES_tradnl"/>
        </w:rPr>
        <w:t xml:space="preserve"> </w:t>
      </w:r>
      <w:r w:rsidR="00004C39" w:rsidRPr="007922AD">
        <w:rPr>
          <w:rFonts w:ascii="Arial" w:hAnsi="Arial" w:cs="Arial"/>
          <w:b w:val="0"/>
          <w:szCs w:val="24"/>
          <w:lang w:val="es-ES_tradnl"/>
        </w:rPr>
        <w:t>Términos de Referencia SOCAT (Servicio de Orientación, Consulta y Articulación Territorial), Marzo 2014. De dichos términos surge que la contratación será desde la firma (se prevé el 1º de marzo de 2014) hasta el 31 de diciembre de 2014, pudiendo el mismo ser renovado hasta el 7/12/2015 previa evaluación favorable de la DNGT. Las organizaciones estarán sujetas a evaluaciones periódicas, pudiéndose rescindir el contrato de acuerdo a lo establecido en la Cláusula 3.8 del Contrato</w:t>
      </w:r>
      <w:r w:rsidR="0092063D" w:rsidRPr="007922AD">
        <w:rPr>
          <w:rFonts w:ascii="Arial" w:hAnsi="Arial" w:cs="Arial"/>
          <w:b w:val="0"/>
          <w:szCs w:val="24"/>
          <w:lang w:val="es-ES_tradnl"/>
        </w:rPr>
        <w:t>;</w:t>
      </w:r>
    </w:p>
    <w:p w:rsidR="0092063D" w:rsidRPr="007922AD" w:rsidRDefault="0092063D" w:rsidP="007C5B2D">
      <w:pPr>
        <w:spacing w:line="360" w:lineRule="auto"/>
        <w:ind w:firstLine="2694"/>
        <w:jc w:val="both"/>
        <w:rPr>
          <w:rFonts w:ascii="Arial" w:hAnsi="Arial" w:cs="Arial"/>
          <w:b w:val="0"/>
          <w:szCs w:val="24"/>
          <w:lang w:val="es-ES_tradnl"/>
        </w:rPr>
      </w:pPr>
      <w:r w:rsidRPr="007C5B2D">
        <w:rPr>
          <w:rFonts w:ascii="Arial" w:hAnsi="Arial" w:cs="Arial"/>
          <w:szCs w:val="24"/>
          <w:lang w:val="es-ES_tradnl"/>
        </w:rPr>
        <w:t>8)</w:t>
      </w:r>
      <w:r w:rsidRPr="007922AD">
        <w:rPr>
          <w:rFonts w:ascii="Arial" w:hAnsi="Arial" w:cs="Arial"/>
          <w:b w:val="0"/>
          <w:szCs w:val="24"/>
          <w:lang w:val="es-ES_tradnl"/>
        </w:rPr>
        <w:t xml:space="preserve"> que se adjunta la no objeción del BID de fecha 5 de febrero de 2014 </w:t>
      </w:r>
      <w:r w:rsidR="0020499B" w:rsidRPr="007922AD">
        <w:rPr>
          <w:rFonts w:ascii="Arial" w:hAnsi="Arial" w:cs="Arial"/>
          <w:b w:val="0"/>
          <w:szCs w:val="24"/>
          <w:lang w:val="es-ES_tradnl"/>
        </w:rPr>
        <w:t>por la cual</w:t>
      </w:r>
      <w:r w:rsidRPr="007922AD">
        <w:rPr>
          <w:rFonts w:ascii="Arial" w:hAnsi="Arial" w:cs="Arial"/>
          <w:b w:val="0"/>
          <w:szCs w:val="24"/>
          <w:lang w:val="es-ES_tradnl"/>
        </w:rPr>
        <w:t xml:space="preserve"> no se efectúan observaciones a la modificación en la modalidad de ejecución de dos Organizaciones que gestionan SOCAT en distintas </w:t>
      </w:r>
      <w:r w:rsidR="007C5B2D" w:rsidRPr="007922AD">
        <w:rPr>
          <w:rFonts w:ascii="Arial" w:hAnsi="Arial" w:cs="Arial"/>
          <w:b w:val="0"/>
          <w:szCs w:val="24"/>
          <w:lang w:val="es-ES_tradnl"/>
        </w:rPr>
        <w:t>Áreas</w:t>
      </w:r>
      <w:r w:rsidRPr="007922AD">
        <w:rPr>
          <w:rFonts w:ascii="Arial" w:hAnsi="Arial" w:cs="Arial"/>
          <w:b w:val="0"/>
          <w:szCs w:val="24"/>
          <w:lang w:val="es-ES_tradnl"/>
        </w:rPr>
        <w:t xml:space="preserve"> Territoriales: </w:t>
      </w:r>
    </w:p>
    <w:p w:rsidR="0092063D" w:rsidRPr="007922AD" w:rsidRDefault="0092063D" w:rsidP="007922AD">
      <w:pPr>
        <w:spacing w:line="360" w:lineRule="auto"/>
        <w:jc w:val="both"/>
        <w:rPr>
          <w:rFonts w:ascii="Arial" w:hAnsi="Arial" w:cs="Arial"/>
          <w:b w:val="0"/>
          <w:szCs w:val="24"/>
          <w:lang w:val="es-ES_tradnl"/>
        </w:rPr>
      </w:pPr>
      <w:proofErr w:type="gramStart"/>
      <w:r w:rsidRPr="007922AD">
        <w:rPr>
          <w:rFonts w:ascii="Arial" w:hAnsi="Arial" w:cs="Arial"/>
          <w:b w:val="0"/>
          <w:szCs w:val="24"/>
          <w:lang w:val="es-ES_tradnl"/>
        </w:rPr>
        <w:lastRenderedPageBreak/>
        <w:t>a</w:t>
      </w:r>
      <w:proofErr w:type="gramEnd"/>
      <w:r w:rsidRPr="007922AD">
        <w:rPr>
          <w:rFonts w:ascii="Arial" w:hAnsi="Arial" w:cs="Arial"/>
          <w:b w:val="0"/>
          <w:szCs w:val="24"/>
          <w:lang w:val="es-ES_tradnl"/>
        </w:rPr>
        <w:t>.- A.T. 35501: Fundación Pro-</w:t>
      </w:r>
      <w:proofErr w:type="spellStart"/>
      <w:r w:rsidRPr="007922AD">
        <w:rPr>
          <w:rFonts w:ascii="Arial" w:hAnsi="Arial" w:cs="Arial"/>
          <w:b w:val="0"/>
          <w:szCs w:val="24"/>
          <w:lang w:val="es-ES_tradnl"/>
        </w:rPr>
        <w:t>Humanitas</w:t>
      </w:r>
      <w:proofErr w:type="spellEnd"/>
      <w:r w:rsidRPr="007922AD">
        <w:rPr>
          <w:rFonts w:ascii="Arial" w:hAnsi="Arial" w:cs="Arial"/>
          <w:b w:val="0"/>
          <w:szCs w:val="24"/>
          <w:lang w:val="es-ES_tradnl"/>
        </w:rPr>
        <w:t>, de Modalidad 1 a Modalidad 2</w:t>
      </w:r>
      <w:r w:rsidR="0020499B" w:rsidRPr="007922AD">
        <w:rPr>
          <w:rFonts w:ascii="Arial" w:hAnsi="Arial" w:cs="Arial"/>
          <w:b w:val="0"/>
          <w:szCs w:val="24"/>
          <w:lang w:val="es-ES_tradnl"/>
        </w:rPr>
        <w:t>; ampliación del SOCAT a los barrios San francisco y El Dorado de la ciudad de Las Piedras;</w:t>
      </w:r>
    </w:p>
    <w:p w:rsidR="0020499B" w:rsidRPr="007922AD" w:rsidRDefault="0020499B" w:rsidP="007922AD">
      <w:pPr>
        <w:spacing w:line="360" w:lineRule="auto"/>
        <w:jc w:val="both"/>
        <w:rPr>
          <w:rFonts w:ascii="Arial" w:hAnsi="Arial" w:cs="Arial"/>
          <w:b w:val="0"/>
          <w:szCs w:val="24"/>
          <w:lang w:val="es-ES_tradnl"/>
        </w:rPr>
      </w:pPr>
      <w:r w:rsidRPr="007922AD">
        <w:rPr>
          <w:rFonts w:ascii="Arial" w:hAnsi="Arial" w:cs="Arial"/>
          <w:b w:val="0"/>
          <w:szCs w:val="24"/>
          <w:lang w:val="es-ES_tradnl"/>
        </w:rPr>
        <w:t>b.- A.T. 35504: Fundación Centro de Educación Popular (CEP), de Modalidad 2 a Modalidad 3; ampliación del SOCAT del CEP a las localidades de Canelones y Santa Lucía;</w:t>
      </w:r>
    </w:p>
    <w:p w:rsidR="0020499B" w:rsidRPr="007922AD" w:rsidRDefault="0020499B" w:rsidP="00AC11FD">
      <w:pPr>
        <w:spacing w:line="360" w:lineRule="auto"/>
        <w:ind w:firstLine="2694"/>
        <w:jc w:val="both"/>
        <w:rPr>
          <w:rFonts w:ascii="Arial" w:hAnsi="Arial" w:cs="Arial"/>
          <w:b w:val="0"/>
          <w:szCs w:val="24"/>
          <w:lang w:val="es-ES_tradnl"/>
        </w:rPr>
      </w:pPr>
      <w:r w:rsidRPr="00AC11FD">
        <w:rPr>
          <w:rFonts w:ascii="Arial" w:hAnsi="Arial" w:cs="Arial"/>
          <w:szCs w:val="24"/>
          <w:lang w:val="es-ES_tradnl"/>
        </w:rPr>
        <w:t>9)</w:t>
      </w:r>
      <w:r w:rsidRPr="007922AD">
        <w:rPr>
          <w:rFonts w:ascii="Arial" w:hAnsi="Arial" w:cs="Arial"/>
          <w:b w:val="0"/>
          <w:szCs w:val="24"/>
          <w:lang w:val="es-ES_tradnl"/>
        </w:rPr>
        <w:t xml:space="preserve"> que se agrega Documento Modificación Nº 2 de Afectación Nº 000037 de fecha 11/02/14  por $ 722.568 con cargo al Inciso 15, U.E. 001, Finan. 2.1, </w:t>
      </w:r>
      <w:proofErr w:type="spellStart"/>
      <w:r w:rsidRPr="007922AD">
        <w:rPr>
          <w:rFonts w:ascii="Arial" w:hAnsi="Arial" w:cs="Arial"/>
          <w:b w:val="0"/>
          <w:szCs w:val="24"/>
          <w:lang w:val="es-ES_tradnl"/>
        </w:rPr>
        <w:t>Prog</w:t>
      </w:r>
      <w:proofErr w:type="spellEnd"/>
      <w:r w:rsidRPr="007922AD">
        <w:rPr>
          <w:rFonts w:ascii="Arial" w:hAnsi="Arial" w:cs="Arial"/>
          <w:b w:val="0"/>
          <w:szCs w:val="24"/>
          <w:lang w:val="es-ES_tradnl"/>
        </w:rPr>
        <w:t xml:space="preserve">. 401, </w:t>
      </w:r>
      <w:proofErr w:type="spellStart"/>
      <w:r w:rsidRPr="007922AD">
        <w:rPr>
          <w:rFonts w:ascii="Arial" w:hAnsi="Arial" w:cs="Arial"/>
          <w:b w:val="0"/>
          <w:szCs w:val="24"/>
          <w:lang w:val="es-ES_tradnl"/>
        </w:rPr>
        <w:t>Proy</w:t>
      </w:r>
      <w:proofErr w:type="spellEnd"/>
      <w:r w:rsidRPr="007922AD">
        <w:rPr>
          <w:rFonts w:ascii="Arial" w:hAnsi="Arial" w:cs="Arial"/>
          <w:b w:val="0"/>
          <w:szCs w:val="24"/>
          <w:lang w:val="es-ES_tradnl"/>
        </w:rPr>
        <w:t xml:space="preserve"> 110, Objeto del gasto 554</w:t>
      </w:r>
      <w:r w:rsidR="007F7B94" w:rsidRPr="007922AD">
        <w:rPr>
          <w:rFonts w:ascii="Arial" w:hAnsi="Arial" w:cs="Arial"/>
          <w:b w:val="0"/>
          <w:szCs w:val="24"/>
          <w:lang w:val="es-ES_tradnl"/>
        </w:rPr>
        <w:t xml:space="preserve"> </w:t>
      </w:r>
      <w:r w:rsidRPr="007922AD">
        <w:rPr>
          <w:rFonts w:ascii="Arial" w:hAnsi="Arial" w:cs="Arial"/>
          <w:b w:val="0"/>
          <w:szCs w:val="24"/>
          <w:lang w:val="es-ES_tradnl"/>
        </w:rPr>
        <w:t>por concepto de Aumento a Pro-</w:t>
      </w:r>
      <w:proofErr w:type="spellStart"/>
      <w:r w:rsidRPr="007922AD">
        <w:rPr>
          <w:rFonts w:ascii="Arial" w:hAnsi="Arial" w:cs="Arial"/>
          <w:b w:val="0"/>
          <w:szCs w:val="24"/>
          <w:lang w:val="es-ES_tradnl"/>
        </w:rPr>
        <w:t>Humanitas</w:t>
      </w:r>
      <w:proofErr w:type="spellEnd"/>
      <w:r w:rsidRPr="007922AD">
        <w:rPr>
          <w:rFonts w:ascii="Arial" w:hAnsi="Arial" w:cs="Arial"/>
          <w:b w:val="0"/>
          <w:szCs w:val="24"/>
          <w:lang w:val="es-ES_tradnl"/>
        </w:rPr>
        <w:t xml:space="preserve"> y CEP;</w:t>
      </w:r>
    </w:p>
    <w:p w:rsidR="0020499B" w:rsidRPr="007922AD" w:rsidRDefault="0020499B" w:rsidP="00AC11FD">
      <w:pPr>
        <w:spacing w:line="360" w:lineRule="auto"/>
        <w:ind w:firstLine="2694"/>
        <w:jc w:val="both"/>
        <w:rPr>
          <w:rFonts w:ascii="Arial" w:hAnsi="Arial" w:cs="Arial"/>
          <w:b w:val="0"/>
          <w:szCs w:val="24"/>
          <w:lang w:val="es-ES_tradnl"/>
        </w:rPr>
      </w:pPr>
      <w:r w:rsidRPr="00AC11FD">
        <w:rPr>
          <w:rFonts w:ascii="Arial" w:hAnsi="Arial" w:cs="Arial"/>
          <w:szCs w:val="24"/>
          <w:lang w:val="es-ES_tradnl"/>
        </w:rPr>
        <w:t>10)</w:t>
      </w:r>
      <w:r w:rsidRPr="007922AD">
        <w:rPr>
          <w:rFonts w:ascii="Arial" w:hAnsi="Arial" w:cs="Arial"/>
          <w:b w:val="0"/>
          <w:szCs w:val="24"/>
          <w:lang w:val="es-ES_tradnl"/>
        </w:rPr>
        <w:t xml:space="preserve"> que consta Proyecto de Resolución del Poder Ejecutivo del cual surgen los siguientes extremos: </w:t>
      </w:r>
    </w:p>
    <w:p w:rsidR="0020499B" w:rsidRPr="007922AD" w:rsidRDefault="0020499B" w:rsidP="007922AD">
      <w:pPr>
        <w:spacing w:line="360" w:lineRule="auto"/>
        <w:jc w:val="both"/>
        <w:rPr>
          <w:rFonts w:ascii="Arial" w:hAnsi="Arial" w:cs="Arial"/>
          <w:b w:val="0"/>
          <w:szCs w:val="24"/>
          <w:lang w:val="es-ES_tradnl"/>
        </w:rPr>
      </w:pPr>
      <w:r w:rsidRPr="007922AD">
        <w:rPr>
          <w:rFonts w:ascii="Arial" w:hAnsi="Arial" w:cs="Arial"/>
          <w:b w:val="0"/>
          <w:szCs w:val="24"/>
          <w:lang w:val="es-ES_tradnl"/>
        </w:rPr>
        <w:t xml:space="preserve">10.1.- Autorizar los cambios en las Modalidades de ejecución en las Áreas Territoriales 35501 y 35504 en la forma antes </w:t>
      </w:r>
      <w:r w:rsidR="00F86A75">
        <w:rPr>
          <w:rFonts w:ascii="Arial" w:hAnsi="Arial" w:cs="Arial"/>
          <w:b w:val="0"/>
          <w:szCs w:val="24"/>
          <w:lang w:val="es-ES_tradnl"/>
        </w:rPr>
        <w:t xml:space="preserve">mencionada </w:t>
      </w:r>
      <w:r w:rsidRPr="007922AD">
        <w:rPr>
          <w:rFonts w:ascii="Arial" w:hAnsi="Arial" w:cs="Arial"/>
          <w:b w:val="0"/>
          <w:szCs w:val="24"/>
          <w:lang w:val="es-ES_tradnl"/>
        </w:rPr>
        <w:t>(Resultando  8);</w:t>
      </w:r>
    </w:p>
    <w:p w:rsidR="0020499B" w:rsidRDefault="0020499B" w:rsidP="007922AD">
      <w:pPr>
        <w:spacing w:line="360" w:lineRule="auto"/>
        <w:jc w:val="both"/>
        <w:rPr>
          <w:rFonts w:ascii="Arial" w:hAnsi="Arial" w:cs="Arial"/>
          <w:b w:val="0"/>
          <w:szCs w:val="24"/>
          <w:lang w:val="es-ES_tradnl"/>
        </w:rPr>
      </w:pPr>
      <w:r w:rsidRPr="007922AD">
        <w:rPr>
          <w:rFonts w:ascii="Arial" w:hAnsi="Arial" w:cs="Arial"/>
          <w:b w:val="0"/>
          <w:szCs w:val="24"/>
          <w:lang w:val="es-ES_tradnl"/>
        </w:rPr>
        <w:t>10.2.- Autorizar el aumento en la ejecución del SOCAT para el Ejercicio 2014 y 2015,  en un monto de hasta $ 722.568 para el Ejercicio 2014 y en un monto de hasta $ 727.893 para el Ejercicio 2015, según el siguiente detalle:</w:t>
      </w:r>
    </w:p>
    <w:p w:rsidR="00AC11FD" w:rsidRPr="007922AD" w:rsidRDefault="00AC11FD" w:rsidP="007922AD">
      <w:pPr>
        <w:spacing w:line="360" w:lineRule="auto"/>
        <w:jc w:val="both"/>
        <w:rPr>
          <w:rFonts w:ascii="Arial" w:hAnsi="Arial" w:cs="Arial"/>
          <w:b w:val="0"/>
          <w:szCs w:val="24"/>
          <w:lang w:val="es-ES_tradnl"/>
        </w:rPr>
      </w:pPr>
    </w:p>
    <w:tbl>
      <w:tblPr>
        <w:tblStyle w:val="Tablaconcuadrcula"/>
        <w:tblW w:w="8931" w:type="dxa"/>
        <w:tblInd w:w="108" w:type="dxa"/>
        <w:tblLayout w:type="fixed"/>
        <w:tblLook w:val="04A0" w:firstRow="1" w:lastRow="0" w:firstColumn="1" w:lastColumn="0" w:noHBand="0" w:noVBand="1"/>
      </w:tblPr>
      <w:tblGrid>
        <w:gridCol w:w="993"/>
        <w:gridCol w:w="1275"/>
        <w:gridCol w:w="1701"/>
        <w:gridCol w:w="1276"/>
        <w:gridCol w:w="1213"/>
        <w:gridCol w:w="1197"/>
        <w:gridCol w:w="1276"/>
      </w:tblGrid>
      <w:tr w:rsidR="00536DD4" w:rsidRPr="00536DD4" w:rsidTr="00536DD4">
        <w:tc>
          <w:tcPr>
            <w:tcW w:w="993"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A.T.</w:t>
            </w:r>
          </w:p>
        </w:tc>
        <w:tc>
          <w:tcPr>
            <w:tcW w:w="1275"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Modalidad</w:t>
            </w:r>
          </w:p>
        </w:tc>
        <w:tc>
          <w:tcPr>
            <w:tcW w:w="1701"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Organización</w:t>
            </w:r>
          </w:p>
        </w:tc>
        <w:tc>
          <w:tcPr>
            <w:tcW w:w="1276" w:type="dxa"/>
          </w:tcPr>
          <w:p w:rsidR="00F13811" w:rsidRPr="00536DD4" w:rsidRDefault="002B6E46" w:rsidP="00972464">
            <w:pPr>
              <w:spacing w:line="360" w:lineRule="auto"/>
              <w:rPr>
                <w:rFonts w:ascii="Arial" w:hAnsi="Arial" w:cs="Arial"/>
                <w:b w:val="0"/>
                <w:sz w:val="22"/>
                <w:szCs w:val="22"/>
                <w:lang w:val="es-ES_tradnl"/>
              </w:rPr>
            </w:pPr>
            <w:r>
              <w:rPr>
                <w:rFonts w:ascii="Arial" w:hAnsi="Arial" w:cs="Arial"/>
                <w:b w:val="0"/>
                <w:sz w:val="22"/>
                <w:szCs w:val="22"/>
                <w:lang w:val="es-ES_tradnl"/>
              </w:rPr>
              <w:t>Monto má</w:t>
            </w:r>
            <w:r w:rsidR="00F13811" w:rsidRPr="00536DD4">
              <w:rPr>
                <w:rFonts w:ascii="Arial" w:hAnsi="Arial" w:cs="Arial"/>
                <w:b w:val="0"/>
                <w:sz w:val="22"/>
                <w:szCs w:val="22"/>
                <w:lang w:val="es-ES_tradnl"/>
              </w:rPr>
              <w:t>x</w:t>
            </w:r>
            <w:r w:rsidR="00AC11FD" w:rsidRPr="00536DD4">
              <w:rPr>
                <w:rFonts w:ascii="Arial" w:hAnsi="Arial" w:cs="Arial"/>
                <w:b w:val="0"/>
                <w:sz w:val="22"/>
                <w:szCs w:val="22"/>
                <w:lang w:val="es-ES_tradnl"/>
              </w:rPr>
              <w:t xml:space="preserve">. </w:t>
            </w:r>
            <w:r w:rsidR="00F13811" w:rsidRPr="00536DD4">
              <w:rPr>
                <w:rFonts w:ascii="Arial" w:hAnsi="Arial" w:cs="Arial"/>
                <w:b w:val="0"/>
                <w:sz w:val="22"/>
                <w:szCs w:val="22"/>
                <w:lang w:val="es-ES_tradnl"/>
              </w:rPr>
              <w:t>2014</w:t>
            </w:r>
          </w:p>
        </w:tc>
        <w:tc>
          <w:tcPr>
            <w:tcW w:w="1213"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Monto máx.</w:t>
            </w:r>
            <w:r w:rsidR="00AC11FD" w:rsidRPr="00536DD4">
              <w:rPr>
                <w:rFonts w:ascii="Arial" w:hAnsi="Arial" w:cs="Arial"/>
                <w:b w:val="0"/>
                <w:sz w:val="22"/>
                <w:szCs w:val="22"/>
                <w:lang w:val="es-ES_tradnl"/>
              </w:rPr>
              <w:t xml:space="preserve"> </w:t>
            </w:r>
            <w:r w:rsidRPr="00536DD4">
              <w:rPr>
                <w:rFonts w:ascii="Arial" w:hAnsi="Arial" w:cs="Arial"/>
                <w:b w:val="0"/>
                <w:sz w:val="22"/>
                <w:szCs w:val="22"/>
                <w:lang w:val="es-ES_tradnl"/>
              </w:rPr>
              <w:t>2015</w:t>
            </w:r>
          </w:p>
        </w:tc>
        <w:tc>
          <w:tcPr>
            <w:tcW w:w="1197"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 xml:space="preserve">Aumento </w:t>
            </w:r>
            <w:proofErr w:type="spellStart"/>
            <w:r w:rsidRPr="00536DD4">
              <w:rPr>
                <w:rFonts w:ascii="Arial" w:hAnsi="Arial" w:cs="Arial"/>
                <w:b w:val="0"/>
                <w:sz w:val="22"/>
                <w:szCs w:val="22"/>
                <w:lang w:val="es-ES_tradnl"/>
              </w:rPr>
              <w:t>Ejec</w:t>
            </w:r>
            <w:proofErr w:type="spellEnd"/>
            <w:r w:rsidRPr="00536DD4">
              <w:rPr>
                <w:rFonts w:ascii="Arial" w:hAnsi="Arial" w:cs="Arial"/>
                <w:b w:val="0"/>
                <w:sz w:val="22"/>
                <w:szCs w:val="22"/>
                <w:lang w:val="es-ES_tradnl"/>
              </w:rPr>
              <w:t>. 2014</w:t>
            </w:r>
          </w:p>
        </w:tc>
        <w:tc>
          <w:tcPr>
            <w:tcW w:w="1276"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 xml:space="preserve">Aumento </w:t>
            </w:r>
            <w:proofErr w:type="spellStart"/>
            <w:r w:rsidRPr="00536DD4">
              <w:rPr>
                <w:rFonts w:ascii="Arial" w:hAnsi="Arial" w:cs="Arial"/>
                <w:b w:val="0"/>
                <w:sz w:val="22"/>
                <w:szCs w:val="22"/>
                <w:lang w:val="es-ES_tradnl"/>
              </w:rPr>
              <w:t>Ejec</w:t>
            </w:r>
            <w:proofErr w:type="spellEnd"/>
            <w:r w:rsidRPr="00536DD4">
              <w:rPr>
                <w:rFonts w:ascii="Arial" w:hAnsi="Arial" w:cs="Arial"/>
                <w:b w:val="0"/>
                <w:sz w:val="22"/>
                <w:szCs w:val="22"/>
                <w:lang w:val="es-ES_tradnl"/>
              </w:rPr>
              <w:t>. 2015</w:t>
            </w:r>
          </w:p>
        </w:tc>
      </w:tr>
      <w:tr w:rsidR="00536DD4" w:rsidRPr="00536DD4" w:rsidTr="00536DD4">
        <w:tc>
          <w:tcPr>
            <w:tcW w:w="993"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35504</w:t>
            </w:r>
          </w:p>
        </w:tc>
        <w:tc>
          <w:tcPr>
            <w:tcW w:w="1275"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 xml:space="preserve">   3</w:t>
            </w:r>
          </w:p>
        </w:tc>
        <w:tc>
          <w:tcPr>
            <w:tcW w:w="1701"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C.E.P</w:t>
            </w:r>
          </w:p>
        </w:tc>
        <w:tc>
          <w:tcPr>
            <w:tcW w:w="1276"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1:482.778</w:t>
            </w:r>
          </w:p>
        </w:tc>
        <w:tc>
          <w:tcPr>
            <w:tcW w:w="1213"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1:493.436</w:t>
            </w:r>
          </w:p>
        </w:tc>
        <w:tc>
          <w:tcPr>
            <w:tcW w:w="1197"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 xml:space="preserve"> 312.182</w:t>
            </w:r>
          </w:p>
        </w:tc>
        <w:tc>
          <w:tcPr>
            <w:tcW w:w="1276"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 xml:space="preserve"> 314.604</w:t>
            </w:r>
          </w:p>
        </w:tc>
      </w:tr>
      <w:tr w:rsidR="00536DD4" w:rsidRPr="00536DD4" w:rsidTr="00536DD4">
        <w:tc>
          <w:tcPr>
            <w:tcW w:w="993"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35501</w:t>
            </w:r>
          </w:p>
        </w:tc>
        <w:tc>
          <w:tcPr>
            <w:tcW w:w="1275"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 xml:space="preserve">   2</w:t>
            </w:r>
          </w:p>
        </w:tc>
        <w:tc>
          <w:tcPr>
            <w:tcW w:w="1701"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Pro-</w:t>
            </w:r>
            <w:proofErr w:type="spellStart"/>
            <w:r w:rsidRPr="00536DD4">
              <w:rPr>
                <w:rFonts w:ascii="Arial" w:hAnsi="Arial" w:cs="Arial"/>
                <w:b w:val="0"/>
                <w:sz w:val="22"/>
                <w:szCs w:val="22"/>
                <w:lang w:val="es-ES_tradnl"/>
              </w:rPr>
              <w:t>Humanitas</w:t>
            </w:r>
            <w:proofErr w:type="spellEnd"/>
          </w:p>
        </w:tc>
        <w:tc>
          <w:tcPr>
            <w:tcW w:w="1276"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1:170.596</w:t>
            </w:r>
          </w:p>
        </w:tc>
        <w:tc>
          <w:tcPr>
            <w:tcW w:w="1213"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1:178.832</w:t>
            </w:r>
          </w:p>
        </w:tc>
        <w:tc>
          <w:tcPr>
            <w:tcW w:w="1197"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 xml:space="preserve"> 410.386</w:t>
            </w:r>
          </w:p>
        </w:tc>
        <w:tc>
          <w:tcPr>
            <w:tcW w:w="1276"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 xml:space="preserve"> 413.292</w:t>
            </w:r>
          </w:p>
        </w:tc>
      </w:tr>
      <w:tr w:rsidR="00536DD4" w:rsidRPr="00536DD4" w:rsidTr="00536DD4">
        <w:tc>
          <w:tcPr>
            <w:tcW w:w="993" w:type="dxa"/>
          </w:tcPr>
          <w:p w:rsidR="00F13811" w:rsidRPr="00536DD4" w:rsidRDefault="00F13811" w:rsidP="00972464">
            <w:pPr>
              <w:spacing w:line="360" w:lineRule="auto"/>
              <w:rPr>
                <w:rFonts w:ascii="Arial" w:hAnsi="Arial" w:cs="Arial"/>
                <w:b w:val="0"/>
                <w:sz w:val="22"/>
                <w:szCs w:val="22"/>
                <w:lang w:val="es-ES_tradnl"/>
              </w:rPr>
            </w:pPr>
          </w:p>
        </w:tc>
        <w:tc>
          <w:tcPr>
            <w:tcW w:w="1275" w:type="dxa"/>
          </w:tcPr>
          <w:p w:rsidR="00F13811" w:rsidRPr="00536DD4" w:rsidRDefault="00F13811" w:rsidP="00972464">
            <w:pPr>
              <w:spacing w:line="360" w:lineRule="auto"/>
              <w:rPr>
                <w:rFonts w:ascii="Arial" w:hAnsi="Arial" w:cs="Arial"/>
                <w:b w:val="0"/>
                <w:sz w:val="22"/>
                <w:szCs w:val="22"/>
                <w:lang w:val="es-ES_tradnl"/>
              </w:rPr>
            </w:pPr>
          </w:p>
        </w:tc>
        <w:tc>
          <w:tcPr>
            <w:tcW w:w="1701"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Totales</w:t>
            </w:r>
          </w:p>
        </w:tc>
        <w:tc>
          <w:tcPr>
            <w:tcW w:w="1276"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2:653.374</w:t>
            </w:r>
          </w:p>
        </w:tc>
        <w:tc>
          <w:tcPr>
            <w:tcW w:w="1213"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2:672.268</w:t>
            </w:r>
          </w:p>
        </w:tc>
        <w:tc>
          <w:tcPr>
            <w:tcW w:w="1197"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 xml:space="preserve"> 722.568</w:t>
            </w:r>
          </w:p>
        </w:tc>
        <w:tc>
          <w:tcPr>
            <w:tcW w:w="1276" w:type="dxa"/>
          </w:tcPr>
          <w:p w:rsidR="00F13811" w:rsidRPr="00536DD4" w:rsidRDefault="00F13811" w:rsidP="00972464">
            <w:pPr>
              <w:spacing w:line="360" w:lineRule="auto"/>
              <w:rPr>
                <w:rFonts w:ascii="Arial" w:hAnsi="Arial" w:cs="Arial"/>
                <w:b w:val="0"/>
                <w:sz w:val="22"/>
                <w:szCs w:val="22"/>
                <w:lang w:val="es-ES_tradnl"/>
              </w:rPr>
            </w:pPr>
            <w:r w:rsidRPr="00536DD4">
              <w:rPr>
                <w:rFonts w:ascii="Arial" w:hAnsi="Arial" w:cs="Arial"/>
                <w:b w:val="0"/>
                <w:sz w:val="22"/>
                <w:szCs w:val="22"/>
                <w:lang w:val="es-ES_tradnl"/>
              </w:rPr>
              <w:t xml:space="preserve"> 727.896</w:t>
            </w:r>
          </w:p>
        </w:tc>
      </w:tr>
    </w:tbl>
    <w:p w:rsidR="000F7750" w:rsidRPr="007922AD" w:rsidRDefault="000F7750" w:rsidP="00972464">
      <w:pPr>
        <w:spacing w:line="360" w:lineRule="auto"/>
        <w:rPr>
          <w:rFonts w:ascii="Arial" w:hAnsi="Arial" w:cs="Arial"/>
          <w:b w:val="0"/>
          <w:szCs w:val="24"/>
          <w:lang w:val="es-ES_tradnl"/>
        </w:rPr>
      </w:pPr>
    </w:p>
    <w:p w:rsidR="000F7750" w:rsidRPr="007922AD" w:rsidRDefault="000F7750" w:rsidP="00972464">
      <w:pPr>
        <w:spacing w:line="360" w:lineRule="auto"/>
        <w:rPr>
          <w:rFonts w:ascii="Arial" w:hAnsi="Arial" w:cs="Arial"/>
          <w:b w:val="0"/>
          <w:szCs w:val="24"/>
          <w:lang w:val="es-ES_tradnl"/>
        </w:rPr>
      </w:pPr>
    </w:p>
    <w:p w:rsidR="007F7B94" w:rsidRPr="007922AD" w:rsidRDefault="009741E5" w:rsidP="00DB19BB">
      <w:pPr>
        <w:spacing w:line="360" w:lineRule="auto"/>
        <w:ind w:firstLine="851"/>
        <w:jc w:val="both"/>
        <w:rPr>
          <w:rFonts w:ascii="Arial" w:hAnsi="Arial" w:cs="Arial"/>
          <w:b w:val="0"/>
          <w:szCs w:val="24"/>
          <w:lang w:val="es-ES_tradnl"/>
        </w:rPr>
      </w:pPr>
      <w:r w:rsidRPr="00DB19BB">
        <w:rPr>
          <w:rFonts w:ascii="Arial" w:hAnsi="Arial" w:cs="Arial"/>
          <w:szCs w:val="24"/>
          <w:lang w:val="es-ES_tradnl"/>
        </w:rPr>
        <w:t xml:space="preserve">CONSIDERANDO: </w:t>
      </w:r>
      <w:r w:rsidR="007F7B94" w:rsidRPr="00DB19BB">
        <w:rPr>
          <w:rFonts w:ascii="Arial" w:hAnsi="Arial" w:cs="Arial"/>
          <w:szCs w:val="24"/>
          <w:lang w:val="es-ES_tradnl"/>
        </w:rPr>
        <w:t>1)</w:t>
      </w:r>
      <w:r w:rsidR="007F7B94" w:rsidRPr="007922AD">
        <w:rPr>
          <w:rFonts w:ascii="Arial" w:hAnsi="Arial" w:cs="Arial"/>
          <w:b w:val="0"/>
          <w:szCs w:val="24"/>
          <w:lang w:val="es-ES_tradnl"/>
        </w:rPr>
        <w:t xml:space="preserve"> </w:t>
      </w:r>
      <w:r w:rsidR="001612B6" w:rsidRPr="007922AD">
        <w:rPr>
          <w:rFonts w:ascii="Arial" w:hAnsi="Arial" w:cs="Arial"/>
          <w:b w:val="0"/>
          <w:szCs w:val="24"/>
          <w:lang w:val="es-ES_tradnl"/>
        </w:rPr>
        <w:t xml:space="preserve">que </w:t>
      </w:r>
      <w:r w:rsidR="007F7B94" w:rsidRPr="007922AD">
        <w:rPr>
          <w:rFonts w:ascii="Arial" w:hAnsi="Arial" w:cs="Arial"/>
          <w:b w:val="0"/>
          <w:szCs w:val="24"/>
          <w:lang w:val="es-ES_tradnl"/>
        </w:rPr>
        <w:t xml:space="preserve">en los contratos suscritos con cada OSC  está prevista la posibilidad de modificación de sus términos y condiciones, previa aprobación por el BID; </w:t>
      </w:r>
    </w:p>
    <w:p w:rsidR="00114091" w:rsidRPr="007922AD" w:rsidRDefault="007F7B94" w:rsidP="00DB19BB">
      <w:pPr>
        <w:spacing w:line="360" w:lineRule="auto"/>
        <w:ind w:firstLine="2977"/>
        <w:jc w:val="both"/>
        <w:rPr>
          <w:rFonts w:ascii="Arial" w:hAnsi="Arial" w:cs="Arial"/>
          <w:b w:val="0"/>
          <w:szCs w:val="24"/>
          <w:lang w:val="es-ES_tradnl"/>
        </w:rPr>
      </w:pPr>
      <w:r w:rsidRPr="00DB19BB">
        <w:rPr>
          <w:rFonts w:ascii="Arial" w:hAnsi="Arial" w:cs="Arial"/>
          <w:szCs w:val="24"/>
          <w:lang w:val="es-ES_tradnl"/>
        </w:rPr>
        <w:lastRenderedPageBreak/>
        <w:t>2)</w:t>
      </w:r>
      <w:r w:rsidRPr="007922AD">
        <w:rPr>
          <w:rFonts w:ascii="Arial" w:hAnsi="Arial" w:cs="Arial"/>
          <w:b w:val="0"/>
          <w:szCs w:val="24"/>
          <w:lang w:val="es-ES_tradnl"/>
        </w:rPr>
        <w:t xml:space="preserve"> que </w:t>
      </w:r>
      <w:r w:rsidR="0052165A" w:rsidRPr="007922AD">
        <w:rPr>
          <w:rFonts w:ascii="Arial" w:hAnsi="Arial" w:cs="Arial"/>
          <w:b w:val="0"/>
          <w:szCs w:val="24"/>
          <w:lang w:val="es-ES_tradnl"/>
        </w:rPr>
        <w:t xml:space="preserve">este Tribunal oportunamente cometió </w:t>
      </w:r>
      <w:r w:rsidRPr="007922AD">
        <w:rPr>
          <w:rFonts w:ascii="Arial" w:hAnsi="Arial" w:cs="Arial"/>
          <w:b w:val="0"/>
          <w:szCs w:val="24"/>
          <w:lang w:val="es-ES_tradnl"/>
        </w:rPr>
        <w:t xml:space="preserve">al Contador Auditor la intervención de </w:t>
      </w:r>
      <w:r w:rsidR="0052165A" w:rsidRPr="007922AD">
        <w:rPr>
          <w:rFonts w:ascii="Arial" w:hAnsi="Arial" w:cs="Arial"/>
          <w:b w:val="0"/>
          <w:szCs w:val="24"/>
          <w:lang w:val="es-ES_tradnl"/>
        </w:rPr>
        <w:t>los montos correspondient</w:t>
      </w:r>
      <w:r w:rsidRPr="007922AD">
        <w:rPr>
          <w:rFonts w:ascii="Arial" w:hAnsi="Arial" w:cs="Arial"/>
          <w:b w:val="0"/>
          <w:szCs w:val="24"/>
          <w:lang w:val="es-ES_tradnl"/>
        </w:rPr>
        <w:t xml:space="preserve">es a los </w:t>
      </w:r>
      <w:r w:rsidR="00DB19BB">
        <w:rPr>
          <w:rFonts w:ascii="Arial" w:hAnsi="Arial" w:cs="Arial"/>
          <w:b w:val="0"/>
          <w:szCs w:val="24"/>
          <w:lang w:val="es-ES_tradnl"/>
        </w:rPr>
        <w:t>E</w:t>
      </w:r>
      <w:r w:rsidRPr="007922AD">
        <w:rPr>
          <w:rFonts w:ascii="Arial" w:hAnsi="Arial" w:cs="Arial"/>
          <w:b w:val="0"/>
          <w:szCs w:val="24"/>
          <w:lang w:val="es-ES_tradnl"/>
        </w:rPr>
        <w:t>jercicios 2014 y 2015;</w:t>
      </w:r>
      <w:r w:rsidR="0052165A" w:rsidRPr="007922AD">
        <w:rPr>
          <w:rFonts w:ascii="Arial" w:hAnsi="Arial" w:cs="Arial"/>
          <w:b w:val="0"/>
          <w:szCs w:val="24"/>
          <w:lang w:val="es-ES_tradnl"/>
        </w:rPr>
        <w:t xml:space="preserve"> </w:t>
      </w:r>
    </w:p>
    <w:p w:rsidR="00DC12FD" w:rsidRPr="007922AD" w:rsidRDefault="00DC12FD" w:rsidP="00F00030">
      <w:pPr>
        <w:spacing w:line="360" w:lineRule="auto"/>
        <w:ind w:firstLine="851"/>
        <w:jc w:val="both"/>
        <w:rPr>
          <w:rFonts w:ascii="Arial" w:hAnsi="Arial" w:cs="Arial"/>
          <w:b w:val="0"/>
          <w:szCs w:val="24"/>
          <w:lang w:val="es-ES_tradnl"/>
        </w:rPr>
      </w:pPr>
      <w:r w:rsidRPr="00F00030">
        <w:rPr>
          <w:rFonts w:ascii="Arial" w:hAnsi="Arial" w:cs="Arial"/>
          <w:szCs w:val="24"/>
          <w:lang w:val="es-ES_tradnl"/>
        </w:rPr>
        <w:t>ATENTO:</w:t>
      </w:r>
      <w:r w:rsidRPr="007922AD">
        <w:rPr>
          <w:rFonts w:ascii="Arial" w:hAnsi="Arial" w:cs="Arial"/>
          <w:b w:val="0"/>
          <w:szCs w:val="24"/>
          <w:lang w:val="es-ES_tradnl"/>
        </w:rPr>
        <w:t xml:space="preserve"> a lo precedentemente expuesto; </w:t>
      </w:r>
    </w:p>
    <w:p w:rsidR="00356925" w:rsidRPr="007922AD" w:rsidRDefault="00356925" w:rsidP="00356925">
      <w:pPr>
        <w:spacing w:line="360" w:lineRule="auto"/>
        <w:jc w:val="center"/>
        <w:rPr>
          <w:rFonts w:ascii="Arial" w:hAnsi="Arial" w:cs="Arial"/>
          <w:szCs w:val="24"/>
          <w:lang w:val="es-ES_tradnl"/>
        </w:rPr>
      </w:pPr>
      <w:r w:rsidRPr="007922AD">
        <w:rPr>
          <w:rFonts w:ascii="Arial" w:hAnsi="Arial" w:cs="Arial"/>
          <w:szCs w:val="24"/>
          <w:lang w:val="es-ES_tradnl"/>
        </w:rPr>
        <w:t>EL TRIBUNAL ACUERDA</w:t>
      </w:r>
    </w:p>
    <w:p w:rsidR="00356925" w:rsidRPr="007922AD" w:rsidRDefault="00356925" w:rsidP="00356925">
      <w:pPr>
        <w:spacing w:line="360" w:lineRule="auto"/>
        <w:rPr>
          <w:rFonts w:ascii="Arial" w:hAnsi="Arial" w:cs="Arial"/>
          <w:b w:val="0"/>
          <w:szCs w:val="24"/>
          <w:lang w:val="es-ES_tradnl"/>
        </w:rPr>
      </w:pPr>
      <w:r w:rsidRPr="00DD25FB">
        <w:rPr>
          <w:rFonts w:ascii="Arial" w:hAnsi="Arial" w:cs="Arial"/>
          <w:szCs w:val="24"/>
          <w:lang w:val="es-ES_tradnl"/>
        </w:rPr>
        <w:t>1)</w:t>
      </w:r>
      <w:r>
        <w:rPr>
          <w:rFonts w:ascii="Arial" w:hAnsi="Arial" w:cs="Arial"/>
          <w:b w:val="0"/>
          <w:szCs w:val="24"/>
          <w:lang w:val="es-ES_tradnl"/>
        </w:rPr>
        <w:t xml:space="preserve"> </w:t>
      </w:r>
      <w:r w:rsidRPr="007922AD">
        <w:rPr>
          <w:rFonts w:ascii="Arial" w:hAnsi="Arial" w:cs="Arial"/>
          <w:b w:val="0"/>
          <w:szCs w:val="24"/>
          <w:lang w:val="es-ES_tradnl"/>
        </w:rPr>
        <w:t>No formular observaciones;</w:t>
      </w:r>
    </w:p>
    <w:p w:rsidR="00F410B5" w:rsidRDefault="00356925" w:rsidP="00356925">
      <w:pPr>
        <w:spacing w:line="360" w:lineRule="auto"/>
        <w:ind w:left="284" w:hanging="284"/>
        <w:jc w:val="both"/>
        <w:rPr>
          <w:rFonts w:ascii="Arial" w:hAnsi="Arial" w:cs="Arial"/>
          <w:b w:val="0"/>
          <w:szCs w:val="24"/>
          <w:lang w:val="es-ES_tradnl"/>
        </w:rPr>
      </w:pPr>
      <w:r w:rsidRPr="00DD25FB">
        <w:rPr>
          <w:rFonts w:ascii="Arial" w:hAnsi="Arial" w:cs="Arial"/>
          <w:szCs w:val="24"/>
          <w:lang w:val="es-ES_tradnl"/>
        </w:rPr>
        <w:t>2)</w:t>
      </w:r>
      <w:r>
        <w:rPr>
          <w:rFonts w:ascii="Arial" w:hAnsi="Arial" w:cs="Arial"/>
          <w:b w:val="0"/>
          <w:szCs w:val="24"/>
          <w:lang w:val="es-ES_tradnl"/>
        </w:rPr>
        <w:t xml:space="preserve"> </w:t>
      </w:r>
      <w:r w:rsidRPr="007922AD">
        <w:rPr>
          <w:rFonts w:ascii="Arial" w:hAnsi="Arial" w:cs="Arial"/>
          <w:b w:val="0"/>
          <w:szCs w:val="24"/>
          <w:lang w:val="es-ES_tradnl"/>
        </w:rPr>
        <w:t xml:space="preserve">Dictada la Resolución por el Ordenador </w:t>
      </w:r>
      <w:r w:rsidR="00F410B5">
        <w:rPr>
          <w:rFonts w:ascii="Arial" w:hAnsi="Arial" w:cs="Arial"/>
          <w:b w:val="0"/>
          <w:szCs w:val="24"/>
          <w:lang w:val="es-ES_tradnl"/>
        </w:rPr>
        <w:t>c</w:t>
      </w:r>
      <w:r w:rsidRPr="007922AD">
        <w:rPr>
          <w:rFonts w:ascii="Arial" w:hAnsi="Arial" w:cs="Arial"/>
          <w:b w:val="0"/>
          <w:szCs w:val="24"/>
          <w:lang w:val="es-ES_tradnl"/>
        </w:rPr>
        <w:t xml:space="preserve">ompetente, </w:t>
      </w:r>
      <w:proofErr w:type="spellStart"/>
      <w:r w:rsidRPr="007922AD">
        <w:rPr>
          <w:rFonts w:ascii="Arial" w:hAnsi="Arial" w:cs="Arial"/>
          <w:b w:val="0"/>
          <w:szCs w:val="24"/>
          <w:lang w:val="es-ES_tradnl"/>
        </w:rPr>
        <w:t>cométese</w:t>
      </w:r>
      <w:proofErr w:type="spellEnd"/>
      <w:r w:rsidRPr="007922AD">
        <w:rPr>
          <w:rFonts w:ascii="Arial" w:hAnsi="Arial" w:cs="Arial"/>
          <w:b w:val="0"/>
          <w:szCs w:val="24"/>
          <w:lang w:val="es-ES_tradnl"/>
        </w:rPr>
        <w:t xml:space="preserve"> a</w:t>
      </w:r>
      <w:r>
        <w:rPr>
          <w:rFonts w:ascii="Arial" w:hAnsi="Arial" w:cs="Arial"/>
          <w:b w:val="0"/>
          <w:szCs w:val="24"/>
          <w:lang w:val="es-ES_tradnl"/>
        </w:rPr>
        <w:t xml:space="preserve"> </w:t>
      </w:r>
      <w:r w:rsidRPr="007922AD">
        <w:rPr>
          <w:rFonts w:ascii="Arial" w:hAnsi="Arial" w:cs="Arial"/>
          <w:b w:val="0"/>
          <w:szCs w:val="24"/>
          <w:lang w:val="es-ES_tradnl"/>
        </w:rPr>
        <w:t>l</w:t>
      </w:r>
      <w:r>
        <w:rPr>
          <w:rFonts w:ascii="Arial" w:hAnsi="Arial" w:cs="Arial"/>
          <w:b w:val="0"/>
          <w:szCs w:val="24"/>
          <w:lang w:val="es-ES_tradnl"/>
        </w:rPr>
        <w:t>a</w:t>
      </w:r>
      <w:r w:rsidRPr="007922AD">
        <w:rPr>
          <w:rFonts w:ascii="Arial" w:hAnsi="Arial" w:cs="Arial"/>
          <w:b w:val="0"/>
          <w:szCs w:val="24"/>
          <w:lang w:val="es-ES_tradnl"/>
        </w:rPr>
        <w:t xml:space="preserve"> Contador</w:t>
      </w:r>
      <w:r>
        <w:rPr>
          <w:rFonts w:ascii="Arial" w:hAnsi="Arial" w:cs="Arial"/>
          <w:b w:val="0"/>
          <w:szCs w:val="24"/>
          <w:lang w:val="es-ES_tradnl"/>
        </w:rPr>
        <w:t>a</w:t>
      </w:r>
      <w:r w:rsidRPr="007922AD">
        <w:rPr>
          <w:rFonts w:ascii="Arial" w:hAnsi="Arial" w:cs="Arial"/>
          <w:b w:val="0"/>
          <w:szCs w:val="24"/>
          <w:lang w:val="es-ES_tradnl"/>
        </w:rPr>
        <w:t xml:space="preserve"> Auditor</w:t>
      </w:r>
      <w:r>
        <w:rPr>
          <w:rFonts w:ascii="Arial" w:hAnsi="Arial" w:cs="Arial"/>
          <w:b w:val="0"/>
          <w:szCs w:val="24"/>
          <w:lang w:val="es-ES_tradnl"/>
        </w:rPr>
        <w:t xml:space="preserve">a </w:t>
      </w:r>
      <w:r w:rsidR="00F410B5">
        <w:rPr>
          <w:rFonts w:ascii="Arial" w:hAnsi="Arial" w:cs="Arial"/>
          <w:b w:val="0"/>
          <w:szCs w:val="24"/>
          <w:lang w:val="es-ES_tradnl"/>
        </w:rPr>
        <w:t>la intervención de los montos referentes a las ampliaciones emergentes de las modificaciones de los Términos de Referencia, esto eso, para el Ejercicio 2014: $ 722.568 y para el Ejercicio 2015: $ 727.896, previo control de su imputación en el grupo adecuado con disponibilidad suficiente;</w:t>
      </w:r>
    </w:p>
    <w:p w:rsidR="00356925" w:rsidRPr="007922AD" w:rsidRDefault="00356925" w:rsidP="00356925">
      <w:pPr>
        <w:spacing w:line="360" w:lineRule="auto"/>
        <w:ind w:left="284" w:hanging="284"/>
        <w:jc w:val="both"/>
        <w:rPr>
          <w:rFonts w:ascii="Arial" w:hAnsi="Arial" w:cs="Arial"/>
          <w:b w:val="0"/>
          <w:szCs w:val="24"/>
          <w:lang w:val="es-ES_tradnl"/>
        </w:rPr>
      </w:pPr>
      <w:r w:rsidRPr="00DD25FB">
        <w:rPr>
          <w:rFonts w:ascii="Arial" w:hAnsi="Arial" w:cs="Arial"/>
          <w:szCs w:val="24"/>
          <w:lang w:val="es-ES_tradnl"/>
        </w:rPr>
        <w:t>3)</w:t>
      </w:r>
      <w:r>
        <w:rPr>
          <w:rFonts w:ascii="Arial" w:hAnsi="Arial" w:cs="Arial"/>
          <w:b w:val="0"/>
          <w:szCs w:val="24"/>
          <w:lang w:val="es-ES_tradnl"/>
        </w:rPr>
        <w:t xml:space="preserve"> </w:t>
      </w:r>
      <w:r w:rsidRPr="007922AD">
        <w:rPr>
          <w:rFonts w:ascii="Arial" w:hAnsi="Arial" w:cs="Arial"/>
          <w:b w:val="0"/>
          <w:szCs w:val="24"/>
          <w:lang w:val="es-ES_tradnl"/>
        </w:rPr>
        <w:t xml:space="preserve">Asimismo, </w:t>
      </w:r>
      <w:proofErr w:type="spellStart"/>
      <w:r w:rsidRPr="007922AD">
        <w:rPr>
          <w:rFonts w:ascii="Arial" w:hAnsi="Arial" w:cs="Arial"/>
          <w:b w:val="0"/>
          <w:szCs w:val="24"/>
          <w:lang w:val="es-ES_tradnl"/>
        </w:rPr>
        <w:t>cométese</w:t>
      </w:r>
      <w:proofErr w:type="spellEnd"/>
      <w:r w:rsidRPr="007922AD">
        <w:rPr>
          <w:rFonts w:ascii="Arial" w:hAnsi="Arial" w:cs="Arial"/>
          <w:b w:val="0"/>
          <w:szCs w:val="24"/>
          <w:lang w:val="es-ES_tradnl"/>
        </w:rPr>
        <w:t xml:space="preserve"> a</w:t>
      </w:r>
      <w:r>
        <w:rPr>
          <w:rFonts w:ascii="Arial" w:hAnsi="Arial" w:cs="Arial"/>
          <w:b w:val="0"/>
          <w:szCs w:val="24"/>
          <w:lang w:val="es-ES_tradnl"/>
        </w:rPr>
        <w:t xml:space="preserve"> </w:t>
      </w:r>
      <w:r w:rsidRPr="007922AD">
        <w:rPr>
          <w:rFonts w:ascii="Arial" w:hAnsi="Arial" w:cs="Arial"/>
          <w:b w:val="0"/>
          <w:szCs w:val="24"/>
          <w:lang w:val="es-ES_tradnl"/>
        </w:rPr>
        <w:t>l</w:t>
      </w:r>
      <w:r>
        <w:rPr>
          <w:rFonts w:ascii="Arial" w:hAnsi="Arial" w:cs="Arial"/>
          <w:b w:val="0"/>
          <w:szCs w:val="24"/>
          <w:lang w:val="es-ES_tradnl"/>
        </w:rPr>
        <w:t>a</w:t>
      </w:r>
      <w:r w:rsidRPr="007922AD">
        <w:rPr>
          <w:rFonts w:ascii="Arial" w:hAnsi="Arial" w:cs="Arial"/>
          <w:b w:val="0"/>
          <w:szCs w:val="24"/>
          <w:lang w:val="es-ES_tradnl"/>
        </w:rPr>
        <w:t xml:space="preserve"> C</w:t>
      </w:r>
      <w:r>
        <w:rPr>
          <w:rFonts w:ascii="Arial" w:hAnsi="Arial" w:cs="Arial"/>
          <w:b w:val="0"/>
          <w:szCs w:val="24"/>
          <w:lang w:val="es-ES_tradnl"/>
        </w:rPr>
        <w:t>ontado</w:t>
      </w:r>
      <w:r w:rsidRPr="007922AD">
        <w:rPr>
          <w:rFonts w:ascii="Arial" w:hAnsi="Arial" w:cs="Arial"/>
          <w:b w:val="0"/>
          <w:szCs w:val="24"/>
          <w:lang w:val="es-ES_tradnl"/>
        </w:rPr>
        <w:t>r</w:t>
      </w:r>
      <w:r>
        <w:rPr>
          <w:rFonts w:ascii="Arial" w:hAnsi="Arial" w:cs="Arial"/>
          <w:b w:val="0"/>
          <w:szCs w:val="24"/>
          <w:lang w:val="es-ES_tradnl"/>
        </w:rPr>
        <w:t>a</w:t>
      </w:r>
      <w:r w:rsidRPr="007922AD">
        <w:rPr>
          <w:rFonts w:ascii="Arial" w:hAnsi="Arial" w:cs="Arial"/>
          <w:b w:val="0"/>
          <w:szCs w:val="24"/>
          <w:lang w:val="es-ES_tradnl"/>
        </w:rPr>
        <w:t xml:space="preserve"> Auditor</w:t>
      </w:r>
      <w:r>
        <w:rPr>
          <w:rFonts w:ascii="Arial" w:hAnsi="Arial" w:cs="Arial"/>
          <w:b w:val="0"/>
          <w:szCs w:val="24"/>
          <w:lang w:val="es-ES_tradnl"/>
        </w:rPr>
        <w:t>a</w:t>
      </w:r>
      <w:r w:rsidRPr="007922AD">
        <w:rPr>
          <w:rFonts w:ascii="Arial" w:hAnsi="Arial" w:cs="Arial"/>
          <w:b w:val="0"/>
          <w:szCs w:val="24"/>
          <w:lang w:val="es-ES_tradnl"/>
        </w:rPr>
        <w:t xml:space="preserve"> la verificación que la Resolución definitiva concuerde con las condiciones de contratación sometidas a este Tribunal (</w:t>
      </w:r>
      <w:r>
        <w:rPr>
          <w:rFonts w:ascii="Arial" w:hAnsi="Arial" w:cs="Arial"/>
          <w:b w:val="0"/>
          <w:szCs w:val="24"/>
          <w:lang w:val="es-ES_tradnl"/>
        </w:rPr>
        <w:t>A</w:t>
      </w:r>
      <w:r w:rsidRPr="007922AD">
        <w:rPr>
          <w:rFonts w:ascii="Arial" w:hAnsi="Arial" w:cs="Arial"/>
          <w:b w:val="0"/>
          <w:szCs w:val="24"/>
          <w:lang w:val="es-ES_tradnl"/>
        </w:rPr>
        <w:t>rt</w:t>
      </w:r>
      <w:r>
        <w:rPr>
          <w:rFonts w:ascii="Arial" w:hAnsi="Arial" w:cs="Arial"/>
          <w:b w:val="0"/>
          <w:szCs w:val="24"/>
          <w:lang w:val="es-ES_tradnl"/>
        </w:rPr>
        <w:t>ículo</w:t>
      </w:r>
      <w:r w:rsidRPr="007922AD">
        <w:rPr>
          <w:rFonts w:ascii="Arial" w:hAnsi="Arial" w:cs="Arial"/>
          <w:b w:val="0"/>
          <w:szCs w:val="24"/>
          <w:lang w:val="es-ES_tradnl"/>
        </w:rPr>
        <w:t xml:space="preserve"> 8 de </w:t>
      </w:r>
      <w:r w:rsidR="00063762">
        <w:rPr>
          <w:rFonts w:ascii="Arial" w:hAnsi="Arial" w:cs="Arial"/>
          <w:b w:val="0"/>
          <w:szCs w:val="24"/>
          <w:lang w:val="es-ES_tradnl"/>
        </w:rPr>
        <w:t xml:space="preserve">la </w:t>
      </w:r>
      <w:r w:rsidRPr="007922AD">
        <w:rPr>
          <w:rFonts w:ascii="Arial" w:hAnsi="Arial" w:cs="Arial"/>
          <w:b w:val="0"/>
          <w:szCs w:val="24"/>
          <w:lang w:val="es-ES_tradnl"/>
        </w:rPr>
        <w:t>Ordenanza Nº 27 de fecha 22/05/58 en la redacción sustitutiva dispuesta por Resolución s/n del Tribunal de Cuentas del 16/06/2010);</w:t>
      </w:r>
    </w:p>
    <w:p w:rsidR="00356925" w:rsidRPr="007922AD" w:rsidRDefault="00356925" w:rsidP="00356925">
      <w:pPr>
        <w:spacing w:line="360" w:lineRule="auto"/>
        <w:rPr>
          <w:rFonts w:ascii="Arial" w:hAnsi="Arial" w:cs="Arial"/>
          <w:b w:val="0"/>
          <w:szCs w:val="24"/>
          <w:lang w:val="es-ES_tradnl"/>
        </w:rPr>
      </w:pPr>
      <w:r w:rsidRPr="00DD25FB">
        <w:rPr>
          <w:rFonts w:ascii="Arial" w:hAnsi="Arial" w:cs="Arial"/>
          <w:szCs w:val="24"/>
          <w:lang w:val="es-ES_tradnl"/>
        </w:rPr>
        <w:t>4)</w:t>
      </w:r>
      <w:r>
        <w:rPr>
          <w:rFonts w:ascii="Arial" w:hAnsi="Arial" w:cs="Arial"/>
          <w:b w:val="0"/>
          <w:szCs w:val="24"/>
          <w:lang w:val="es-ES_tradnl"/>
        </w:rPr>
        <w:t xml:space="preserve"> </w:t>
      </w:r>
      <w:r w:rsidRPr="007922AD">
        <w:rPr>
          <w:rFonts w:ascii="Arial" w:hAnsi="Arial" w:cs="Arial"/>
          <w:b w:val="0"/>
          <w:szCs w:val="24"/>
          <w:lang w:val="es-ES_tradnl"/>
        </w:rPr>
        <w:t>Comuní</w:t>
      </w:r>
      <w:r>
        <w:rPr>
          <w:rFonts w:ascii="Arial" w:hAnsi="Arial" w:cs="Arial"/>
          <w:b w:val="0"/>
          <w:szCs w:val="24"/>
          <w:lang w:val="es-ES_tradnl"/>
        </w:rPr>
        <w:t>quese a la Contadora Auditora;</w:t>
      </w:r>
      <w:bookmarkStart w:id="0" w:name="_GoBack"/>
      <w:bookmarkEnd w:id="0"/>
    </w:p>
    <w:p w:rsidR="00D0141E" w:rsidRPr="007922AD" w:rsidRDefault="00DD25FB" w:rsidP="00DD25FB">
      <w:pPr>
        <w:spacing w:line="360" w:lineRule="auto"/>
        <w:rPr>
          <w:rFonts w:ascii="Arial" w:hAnsi="Arial" w:cs="Arial"/>
          <w:b w:val="0"/>
          <w:szCs w:val="24"/>
          <w:lang w:val="es-ES_tradnl"/>
        </w:rPr>
      </w:pPr>
      <w:r w:rsidRPr="00DD25FB">
        <w:rPr>
          <w:rFonts w:ascii="Arial" w:hAnsi="Arial" w:cs="Arial"/>
          <w:szCs w:val="24"/>
          <w:lang w:val="es-ES_tradnl"/>
        </w:rPr>
        <w:t>5)</w:t>
      </w:r>
      <w:r>
        <w:rPr>
          <w:rFonts w:ascii="Arial" w:hAnsi="Arial" w:cs="Arial"/>
          <w:b w:val="0"/>
          <w:szCs w:val="24"/>
          <w:lang w:val="es-ES_tradnl"/>
        </w:rPr>
        <w:t xml:space="preserve"> </w:t>
      </w:r>
      <w:r w:rsidR="00367268" w:rsidRPr="007922AD">
        <w:rPr>
          <w:rFonts w:ascii="Arial" w:hAnsi="Arial" w:cs="Arial"/>
          <w:b w:val="0"/>
          <w:szCs w:val="24"/>
          <w:lang w:val="es-ES_tradnl"/>
        </w:rPr>
        <w:t>Devuélvase</w:t>
      </w:r>
      <w:r>
        <w:rPr>
          <w:rFonts w:ascii="Arial" w:hAnsi="Arial" w:cs="Arial"/>
          <w:b w:val="0"/>
          <w:szCs w:val="24"/>
          <w:lang w:val="es-ES_tradnl"/>
        </w:rPr>
        <w:t>.</w:t>
      </w:r>
      <w:r w:rsidR="00D0141E" w:rsidRPr="007922AD">
        <w:rPr>
          <w:rFonts w:ascii="Arial" w:hAnsi="Arial" w:cs="Arial"/>
          <w:b w:val="0"/>
          <w:szCs w:val="24"/>
          <w:lang w:val="es-ES_tradnl"/>
        </w:rPr>
        <w:t xml:space="preserve">   </w:t>
      </w:r>
    </w:p>
    <w:p w:rsidR="00D0141E" w:rsidRPr="007922AD" w:rsidRDefault="00D0141E" w:rsidP="00DD25FB">
      <w:pPr>
        <w:spacing w:line="360" w:lineRule="auto"/>
        <w:rPr>
          <w:rFonts w:ascii="Arial" w:hAnsi="Arial" w:cs="Arial"/>
          <w:b w:val="0"/>
          <w:szCs w:val="24"/>
          <w:lang w:val="es-ES_tradnl"/>
        </w:rPr>
      </w:pPr>
    </w:p>
    <w:p w:rsidR="006E04C2" w:rsidRPr="007922AD" w:rsidRDefault="006E04C2" w:rsidP="00DD25FB">
      <w:pPr>
        <w:spacing w:line="360" w:lineRule="auto"/>
        <w:rPr>
          <w:rFonts w:ascii="Arial" w:hAnsi="Arial" w:cs="Arial"/>
          <w:b w:val="0"/>
          <w:szCs w:val="24"/>
          <w:lang w:val="es-ES_tradnl"/>
        </w:rPr>
      </w:pPr>
    </w:p>
    <w:p w:rsidR="00972464" w:rsidRPr="007922AD" w:rsidRDefault="00DD25FB" w:rsidP="00972464">
      <w:pPr>
        <w:rPr>
          <w:rFonts w:ascii="Arial" w:hAnsi="Arial" w:cs="Arial"/>
          <w:b w:val="0"/>
          <w:szCs w:val="24"/>
          <w:lang w:val="es-ES_tradnl"/>
        </w:rPr>
      </w:pPr>
      <w:proofErr w:type="spellStart"/>
      <w:proofErr w:type="gramStart"/>
      <w:r>
        <w:rPr>
          <w:rFonts w:ascii="Arial" w:hAnsi="Arial" w:cs="Arial"/>
          <w:b w:val="0"/>
          <w:szCs w:val="24"/>
          <w:lang w:val="es-ES_tradnl"/>
        </w:rPr>
        <w:t>ag</w:t>
      </w:r>
      <w:proofErr w:type="spellEnd"/>
      <w:proofErr w:type="gramEnd"/>
    </w:p>
    <w:sectPr w:rsidR="00972464" w:rsidRPr="007922AD" w:rsidSect="00C05002">
      <w:footerReference w:type="default" r:id="rId8"/>
      <w:pgSz w:w="11906" w:h="16838" w:code="9"/>
      <w:pgMar w:top="3175" w:right="1701" w:bottom="1418" w:left="1701" w:header="709" w:footer="454"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002" w:rsidRDefault="00C05002" w:rsidP="001B4823">
      <w:r>
        <w:separator/>
      </w:r>
    </w:p>
  </w:endnote>
  <w:endnote w:type="continuationSeparator" w:id="0">
    <w:p w:rsidR="00C05002" w:rsidRDefault="00C05002" w:rsidP="001B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60298"/>
      <w:docPartObj>
        <w:docPartGallery w:val="Page Numbers (Bottom of Page)"/>
        <w:docPartUnique/>
      </w:docPartObj>
    </w:sdtPr>
    <w:sdtEndPr>
      <w:rPr>
        <w:rFonts w:ascii="Arial" w:hAnsi="Arial" w:cs="Arial"/>
        <w:b w:val="0"/>
      </w:rPr>
    </w:sdtEndPr>
    <w:sdtContent>
      <w:p w:rsidR="00C05002" w:rsidRPr="00BD05A1" w:rsidRDefault="00C05002">
        <w:pPr>
          <w:pStyle w:val="Piedepgina"/>
          <w:jc w:val="center"/>
          <w:rPr>
            <w:rFonts w:ascii="Arial" w:hAnsi="Arial" w:cs="Arial"/>
            <w:b w:val="0"/>
          </w:rPr>
        </w:pPr>
        <w:r w:rsidRPr="00BD05A1">
          <w:rPr>
            <w:rFonts w:ascii="Arial" w:hAnsi="Arial" w:cs="Arial"/>
            <w:b w:val="0"/>
          </w:rPr>
          <w:fldChar w:fldCharType="begin"/>
        </w:r>
        <w:r w:rsidRPr="00BD05A1">
          <w:rPr>
            <w:rFonts w:ascii="Arial" w:hAnsi="Arial" w:cs="Arial"/>
            <w:b w:val="0"/>
          </w:rPr>
          <w:instrText>PAGE   \* MERGEFORMAT</w:instrText>
        </w:r>
        <w:r w:rsidRPr="00BD05A1">
          <w:rPr>
            <w:rFonts w:ascii="Arial" w:hAnsi="Arial" w:cs="Arial"/>
            <w:b w:val="0"/>
          </w:rPr>
          <w:fldChar w:fldCharType="separate"/>
        </w:r>
        <w:r w:rsidR="003C1A3B">
          <w:rPr>
            <w:rFonts w:ascii="Arial" w:hAnsi="Arial" w:cs="Arial"/>
            <w:b w:val="0"/>
            <w:noProof/>
          </w:rPr>
          <w:t>5</w:t>
        </w:r>
        <w:r w:rsidRPr="00BD05A1">
          <w:rPr>
            <w:rFonts w:ascii="Arial" w:hAnsi="Arial" w:cs="Arial"/>
            <w:b w:val="0"/>
          </w:rPr>
          <w:fldChar w:fldCharType="end"/>
        </w:r>
      </w:p>
    </w:sdtContent>
  </w:sdt>
  <w:p w:rsidR="00C05002" w:rsidRDefault="00C050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002" w:rsidRDefault="00C05002" w:rsidP="001B4823">
      <w:r>
        <w:separator/>
      </w:r>
    </w:p>
  </w:footnote>
  <w:footnote w:type="continuationSeparator" w:id="0">
    <w:p w:rsidR="00C05002" w:rsidRDefault="00C05002" w:rsidP="001B48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F3158"/>
    <w:multiLevelType w:val="hybridMultilevel"/>
    <w:tmpl w:val="F5404894"/>
    <w:lvl w:ilvl="0" w:tplc="D83E3D52">
      <w:start w:val="1"/>
      <w:numFmt w:val="bullet"/>
      <w:lvlText w:val="-"/>
      <w:lvlJc w:val="left"/>
      <w:pPr>
        <w:ind w:left="2976" w:hanging="360"/>
      </w:pPr>
      <w:rPr>
        <w:rFonts w:ascii="Arial" w:eastAsia="Times New Roman" w:hAnsi="Arial" w:cs="Arial" w:hint="default"/>
      </w:rPr>
    </w:lvl>
    <w:lvl w:ilvl="1" w:tplc="0C0A0003" w:tentative="1">
      <w:start w:val="1"/>
      <w:numFmt w:val="bullet"/>
      <w:lvlText w:val="o"/>
      <w:lvlJc w:val="left"/>
      <w:pPr>
        <w:ind w:left="3696" w:hanging="360"/>
      </w:pPr>
      <w:rPr>
        <w:rFonts w:ascii="Courier New" w:hAnsi="Courier New" w:cs="Courier New" w:hint="default"/>
      </w:rPr>
    </w:lvl>
    <w:lvl w:ilvl="2" w:tplc="0C0A0005" w:tentative="1">
      <w:start w:val="1"/>
      <w:numFmt w:val="bullet"/>
      <w:lvlText w:val=""/>
      <w:lvlJc w:val="left"/>
      <w:pPr>
        <w:ind w:left="4416" w:hanging="360"/>
      </w:pPr>
      <w:rPr>
        <w:rFonts w:ascii="Wingdings" w:hAnsi="Wingdings" w:hint="default"/>
      </w:rPr>
    </w:lvl>
    <w:lvl w:ilvl="3" w:tplc="0C0A0001" w:tentative="1">
      <w:start w:val="1"/>
      <w:numFmt w:val="bullet"/>
      <w:lvlText w:val=""/>
      <w:lvlJc w:val="left"/>
      <w:pPr>
        <w:ind w:left="5136" w:hanging="360"/>
      </w:pPr>
      <w:rPr>
        <w:rFonts w:ascii="Symbol" w:hAnsi="Symbol" w:hint="default"/>
      </w:rPr>
    </w:lvl>
    <w:lvl w:ilvl="4" w:tplc="0C0A0003" w:tentative="1">
      <w:start w:val="1"/>
      <w:numFmt w:val="bullet"/>
      <w:lvlText w:val="o"/>
      <w:lvlJc w:val="left"/>
      <w:pPr>
        <w:ind w:left="5856" w:hanging="360"/>
      </w:pPr>
      <w:rPr>
        <w:rFonts w:ascii="Courier New" w:hAnsi="Courier New" w:cs="Courier New" w:hint="default"/>
      </w:rPr>
    </w:lvl>
    <w:lvl w:ilvl="5" w:tplc="0C0A0005" w:tentative="1">
      <w:start w:val="1"/>
      <w:numFmt w:val="bullet"/>
      <w:lvlText w:val=""/>
      <w:lvlJc w:val="left"/>
      <w:pPr>
        <w:ind w:left="6576" w:hanging="360"/>
      </w:pPr>
      <w:rPr>
        <w:rFonts w:ascii="Wingdings" w:hAnsi="Wingdings" w:hint="default"/>
      </w:rPr>
    </w:lvl>
    <w:lvl w:ilvl="6" w:tplc="0C0A0001" w:tentative="1">
      <w:start w:val="1"/>
      <w:numFmt w:val="bullet"/>
      <w:lvlText w:val=""/>
      <w:lvlJc w:val="left"/>
      <w:pPr>
        <w:ind w:left="7296" w:hanging="360"/>
      </w:pPr>
      <w:rPr>
        <w:rFonts w:ascii="Symbol" w:hAnsi="Symbol" w:hint="default"/>
      </w:rPr>
    </w:lvl>
    <w:lvl w:ilvl="7" w:tplc="0C0A0003" w:tentative="1">
      <w:start w:val="1"/>
      <w:numFmt w:val="bullet"/>
      <w:lvlText w:val="o"/>
      <w:lvlJc w:val="left"/>
      <w:pPr>
        <w:ind w:left="8016" w:hanging="360"/>
      </w:pPr>
      <w:rPr>
        <w:rFonts w:ascii="Courier New" w:hAnsi="Courier New" w:cs="Courier New" w:hint="default"/>
      </w:rPr>
    </w:lvl>
    <w:lvl w:ilvl="8" w:tplc="0C0A0005" w:tentative="1">
      <w:start w:val="1"/>
      <w:numFmt w:val="bullet"/>
      <w:lvlText w:val=""/>
      <w:lvlJc w:val="left"/>
      <w:pPr>
        <w:ind w:left="8736" w:hanging="360"/>
      </w:pPr>
      <w:rPr>
        <w:rFonts w:ascii="Wingdings" w:hAnsi="Wingdings" w:hint="default"/>
      </w:rPr>
    </w:lvl>
  </w:abstractNum>
  <w:abstractNum w:abstractNumId="1">
    <w:nsid w:val="1F011FD7"/>
    <w:multiLevelType w:val="hybridMultilevel"/>
    <w:tmpl w:val="9894D13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3647226"/>
    <w:multiLevelType w:val="hybridMultilevel"/>
    <w:tmpl w:val="B4269F82"/>
    <w:lvl w:ilvl="0" w:tplc="E286C8F4">
      <w:start w:val="1"/>
      <w:numFmt w:val="bullet"/>
      <w:lvlText w:val="-"/>
      <w:lvlJc w:val="left"/>
      <w:pPr>
        <w:ind w:left="2955" w:hanging="360"/>
      </w:pPr>
      <w:rPr>
        <w:rFonts w:ascii="Arial" w:eastAsia="Times New Roman" w:hAnsi="Arial" w:cs="Arial" w:hint="default"/>
      </w:rPr>
    </w:lvl>
    <w:lvl w:ilvl="1" w:tplc="0C0A0003" w:tentative="1">
      <w:start w:val="1"/>
      <w:numFmt w:val="bullet"/>
      <w:lvlText w:val="o"/>
      <w:lvlJc w:val="left"/>
      <w:pPr>
        <w:ind w:left="3675" w:hanging="360"/>
      </w:pPr>
      <w:rPr>
        <w:rFonts w:ascii="Courier New" w:hAnsi="Courier New" w:cs="Courier New" w:hint="default"/>
      </w:rPr>
    </w:lvl>
    <w:lvl w:ilvl="2" w:tplc="0C0A0005" w:tentative="1">
      <w:start w:val="1"/>
      <w:numFmt w:val="bullet"/>
      <w:lvlText w:val=""/>
      <w:lvlJc w:val="left"/>
      <w:pPr>
        <w:ind w:left="4395" w:hanging="360"/>
      </w:pPr>
      <w:rPr>
        <w:rFonts w:ascii="Wingdings" w:hAnsi="Wingdings" w:hint="default"/>
      </w:rPr>
    </w:lvl>
    <w:lvl w:ilvl="3" w:tplc="0C0A0001" w:tentative="1">
      <w:start w:val="1"/>
      <w:numFmt w:val="bullet"/>
      <w:lvlText w:val=""/>
      <w:lvlJc w:val="left"/>
      <w:pPr>
        <w:ind w:left="5115" w:hanging="360"/>
      </w:pPr>
      <w:rPr>
        <w:rFonts w:ascii="Symbol" w:hAnsi="Symbol" w:hint="default"/>
      </w:rPr>
    </w:lvl>
    <w:lvl w:ilvl="4" w:tplc="0C0A0003" w:tentative="1">
      <w:start w:val="1"/>
      <w:numFmt w:val="bullet"/>
      <w:lvlText w:val="o"/>
      <w:lvlJc w:val="left"/>
      <w:pPr>
        <w:ind w:left="5835" w:hanging="360"/>
      </w:pPr>
      <w:rPr>
        <w:rFonts w:ascii="Courier New" w:hAnsi="Courier New" w:cs="Courier New" w:hint="default"/>
      </w:rPr>
    </w:lvl>
    <w:lvl w:ilvl="5" w:tplc="0C0A0005" w:tentative="1">
      <w:start w:val="1"/>
      <w:numFmt w:val="bullet"/>
      <w:lvlText w:val=""/>
      <w:lvlJc w:val="left"/>
      <w:pPr>
        <w:ind w:left="6555" w:hanging="360"/>
      </w:pPr>
      <w:rPr>
        <w:rFonts w:ascii="Wingdings" w:hAnsi="Wingdings" w:hint="default"/>
      </w:rPr>
    </w:lvl>
    <w:lvl w:ilvl="6" w:tplc="0C0A0001" w:tentative="1">
      <w:start w:val="1"/>
      <w:numFmt w:val="bullet"/>
      <w:lvlText w:val=""/>
      <w:lvlJc w:val="left"/>
      <w:pPr>
        <w:ind w:left="7275" w:hanging="360"/>
      </w:pPr>
      <w:rPr>
        <w:rFonts w:ascii="Symbol" w:hAnsi="Symbol" w:hint="default"/>
      </w:rPr>
    </w:lvl>
    <w:lvl w:ilvl="7" w:tplc="0C0A0003" w:tentative="1">
      <w:start w:val="1"/>
      <w:numFmt w:val="bullet"/>
      <w:lvlText w:val="o"/>
      <w:lvlJc w:val="left"/>
      <w:pPr>
        <w:ind w:left="7995" w:hanging="360"/>
      </w:pPr>
      <w:rPr>
        <w:rFonts w:ascii="Courier New" w:hAnsi="Courier New" w:cs="Courier New" w:hint="default"/>
      </w:rPr>
    </w:lvl>
    <w:lvl w:ilvl="8" w:tplc="0C0A0005" w:tentative="1">
      <w:start w:val="1"/>
      <w:numFmt w:val="bullet"/>
      <w:lvlText w:val=""/>
      <w:lvlJc w:val="left"/>
      <w:pPr>
        <w:ind w:left="8715" w:hanging="360"/>
      </w:pPr>
      <w:rPr>
        <w:rFonts w:ascii="Wingdings" w:hAnsi="Wingdings" w:hint="default"/>
      </w:rPr>
    </w:lvl>
  </w:abstractNum>
  <w:abstractNum w:abstractNumId="3">
    <w:nsid w:val="272D1335"/>
    <w:multiLevelType w:val="hybridMultilevel"/>
    <w:tmpl w:val="8DC6865E"/>
    <w:lvl w:ilvl="0" w:tplc="4170F0EE">
      <w:start w:val="1"/>
      <w:numFmt w:val="bullet"/>
      <w:lvlText w:val="-"/>
      <w:lvlJc w:val="left"/>
      <w:pPr>
        <w:ind w:left="2895" w:hanging="360"/>
      </w:pPr>
      <w:rPr>
        <w:rFonts w:ascii="Arial" w:eastAsia="Times New Roman" w:hAnsi="Arial" w:cs="Arial" w:hint="default"/>
      </w:rPr>
    </w:lvl>
    <w:lvl w:ilvl="1" w:tplc="0C0A0003" w:tentative="1">
      <w:start w:val="1"/>
      <w:numFmt w:val="bullet"/>
      <w:lvlText w:val="o"/>
      <w:lvlJc w:val="left"/>
      <w:pPr>
        <w:ind w:left="3615" w:hanging="360"/>
      </w:pPr>
      <w:rPr>
        <w:rFonts w:ascii="Courier New" w:hAnsi="Courier New" w:cs="Courier New" w:hint="default"/>
      </w:rPr>
    </w:lvl>
    <w:lvl w:ilvl="2" w:tplc="0C0A0005" w:tentative="1">
      <w:start w:val="1"/>
      <w:numFmt w:val="bullet"/>
      <w:lvlText w:val=""/>
      <w:lvlJc w:val="left"/>
      <w:pPr>
        <w:ind w:left="4335" w:hanging="360"/>
      </w:pPr>
      <w:rPr>
        <w:rFonts w:ascii="Wingdings" w:hAnsi="Wingdings" w:hint="default"/>
      </w:rPr>
    </w:lvl>
    <w:lvl w:ilvl="3" w:tplc="0C0A0001" w:tentative="1">
      <w:start w:val="1"/>
      <w:numFmt w:val="bullet"/>
      <w:lvlText w:val=""/>
      <w:lvlJc w:val="left"/>
      <w:pPr>
        <w:ind w:left="5055" w:hanging="360"/>
      </w:pPr>
      <w:rPr>
        <w:rFonts w:ascii="Symbol" w:hAnsi="Symbol" w:hint="default"/>
      </w:rPr>
    </w:lvl>
    <w:lvl w:ilvl="4" w:tplc="0C0A0003" w:tentative="1">
      <w:start w:val="1"/>
      <w:numFmt w:val="bullet"/>
      <w:lvlText w:val="o"/>
      <w:lvlJc w:val="left"/>
      <w:pPr>
        <w:ind w:left="5775" w:hanging="360"/>
      </w:pPr>
      <w:rPr>
        <w:rFonts w:ascii="Courier New" w:hAnsi="Courier New" w:cs="Courier New" w:hint="default"/>
      </w:rPr>
    </w:lvl>
    <w:lvl w:ilvl="5" w:tplc="0C0A0005" w:tentative="1">
      <w:start w:val="1"/>
      <w:numFmt w:val="bullet"/>
      <w:lvlText w:val=""/>
      <w:lvlJc w:val="left"/>
      <w:pPr>
        <w:ind w:left="6495" w:hanging="360"/>
      </w:pPr>
      <w:rPr>
        <w:rFonts w:ascii="Wingdings" w:hAnsi="Wingdings" w:hint="default"/>
      </w:rPr>
    </w:lvl>
    <w:lvl w:ilvl="6" w:tplc="0C0A0001" w:tentative="1">
      <w:start w:val="1"/>
      <w:numFmt w:val="bullet"/>
      <w:lvlText w:val=""/>
      <w:lvlJc w:val="left"/>
      <w:pPr>
        <w:ind w:left="7215" w:hanging="360"/>
      </w:pPr>
      <w:rPr>
        <w:rFonts w:ascii="Symbol" w:hAnsi="Symbol" w:hint="default"/>
      </w:rPr>
    </w:lvl>
    <w:lvl w:ilvl="7" w:tplc="0C0A0003" w:tentative="1">
      <w:start w:val="1"/>
      <w:numFmt w:val="bullet"/>
      <w:lvlText w:val="o"/>
      <w:lvlJc w:val="left"/>
      <w:pPr>
        <w:ind w:left="7935" w:hanging="360"/>
      </w:pPr>
      <w:rPr>
        <w:rFonts w:ascii="Courier New" w:hAnsi="Courier New" w:cs="Courier New" w:hint="default"/>
      </w:rPr>
    </w:lvl>
    <w:lvl w:ilvl="8" w:tplc="0C0A0005" w:tentative="1">
      <w:start w:val="1"/>
      <w:numFmt w:val="bullet"/>
      <w:lvlText w:val=""/>
      <w:lvlJc w:val="left"/>
      <w:pPr>
        <w:ind w:left="8655" w:hanging="360"/>
      </w:pPr>
      <w:rPr>
        <w:rFonts w:ascii="Wingdings" w:hAnsi="Wingdings" w:hint="default"/>
      </w:rPr>
    </w:lvl>
  </w:abstractNum>
  <w:abstractNum w:abstractNumId="4">
    <w:nsid w:val="2DF37391"/>
    <w:multiLevelType w:val="hybridMultilevel"/>
    <w:tmpl w:val="ABB25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5A127C9"/>
    <w:multiLevelType w:val="hybridMultilevel"/>
    <w:tmpl w:val="0C489588"/>
    <w:lvl w:ilvl="0" w:tplc="E96EC5AC">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6">
    <w:nsid w:val="4D347807"/>
    <w:multiLevelType w:val="hybridMultilevel"/>
    <w:tmpl w:val="57D63644"/>
    <w:lvl w:ilvl="0" w:tplc="42285DBC">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7F5B0C58"/>
    <w:multiLevelType w:val="hybridMultilevel"/>
    <w:tmpl w:val="80221E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0"/>
  </w:num>
  <w:num w:numId="5">
    <w:abstractNumId w:val="3"/>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2C2"/>
    <w:rsid w:val="00004302"/>
    <w:rsid w:val="00004C39"/>
    <w:rsid w:val="00057575"/>
    <w:rsid w:val="00063762"/>
    <w:rsid w:val="000829A0"/>
    <w:rsid w:val="000E5E32"/>
    <w:rsid w:val="000F7750"/>
    <w:rsid w:val="00114091"/>
    <w:rsid w:val="00117D93"/>
    <w:rsid w:val="00142088"/>
    <w:rsid w:val="00142426"/>
    <w:rsid w:val="001522AA"/>
    <w:rsid w:val="00154140"/>
    <w:rsid w:val="00154598"/>
    <w:rsid w:val="001612B6"/>
    <w:rsid w:val="001665CF"/>
    <w:rsid w:val="001910EF"/>
    <w:rsid w:val="001B03E9"/>
    <w:rsid w:val="001B4823"/>
    <w:rsid w:val="001D56D8"/>
    <w:rsid w:val="001E1524"/>
    <w:rsid w:val="0020499B"/>
    <w:rsid w:val="002211BD"/>
    <w:rsid w:val="0022238E"/>
    <w:rsid w:val="00224838"/>
    <w:rsid w:val="00231C76"/>
    <w:rsid w:val="00244DCA"/>
    <w:rsid w:val="002579F8"/>
    <w:rsid w:val="00294D2F"/>
    <w:rsid w:val="002977BB"/>
    <w:rsid w:val="002B6E46"/>
    <w:rsid w:val="002C5A1D"/>
    <w:rsid w:val="002D4460"/>
    <w:rsid w:val="003115C3"/>
    <w:rsid w:val="00316519"/>
    <w:rsid w:val="00317C1A"/>
    <w:rsid w:val="00325CF4"/>
    <w:rsid w:val="003409DE"/>
    <w:rsid w:val="00356925"/>
    <w:rsid w:val="00356AFE"/>
    <w:rsid w:val="00367268"/>
    <w:rsid w:val="00383CCA"/>
    <w:rsid w:val="003A2B85"/>
    <w:rsid w:val="003A4FDF"/>
    <w:rsid w:val="003B4A12"/>
    <w:rsid w:val="003C1A3B"/>
    <w:rsid w:val="003C242E"/>
    <w:rsid w:val="003C59B7"/>
    <w:rsid w:val="003E2539"/>
    <w:rsid w:val="003E4028"/>
    <w:rsid w:val="003F519B"/>
    <w:rsid w:val="003F5F0B"/>
    <w:rsid w:val="003F6018"/>
    <w:rsid w:val="003F7EA8"/>
    <w:rsid w:val="004014D6"/>
    <w:rsid w:val="00413CBA"/>
    <w:rsid w:val="0042099A"/>
    <w:rsid w:val="00436FF1"/>
    <w:rsid w:val="0045782E"/>
    <w:rsid w:val="0046465B"/>
    <w:rsid w:val="0048340B"/>
    <w:rsid w:val="00486EFF"/>
    <w:rsid w:val="00495C6C"/>
    <w:rsid w:val="004B450B"/>
    <w:rsid w:val="004B5B9B"/>
    <w:rsid w:val="004D6640"/>
    <w:rsid w:val="004F28D8"/>
    <w:rsid w:val="0052165A"/>
    <w:rsid w:val="00536DD4"/>
    <w:rsid w:val="00574030"/>
    <w:rsid w:val="00575E0D"/>
    <w:rsid w:val="00582C96"/>
    <w:rsid w:val="005A0940"/>
    <w:rsid w:val="005C0CDE"/>
    <w:rsid w:val="005C3008"/>
    <w:rsid w:val="005D5276"/>
    <w:rsid w:val="005D6D3B"/>
    <w:rsid w:val="005E3122"/>
    <w:rsid w:val="005E70CA"/>
    <w:rsid w:val="006003F3"/>
    <w:rsid w:val="00605142"/>
    <w:rsid w:val="00616743"/>
    <w:rsid w:val="006218A2"/>
    <w:rsid w:val="006537C5"/>
    <w:rsid w:val="006607B5"/>
    <w:rsid w:val="0066549F"/>
    <w:rsid w:val="00667366"/>
    <w:rsid w:val="006805AD"/>
    <w:rsid w:val="006A1463"/>
    <w:rsid w:val="006A742A"/>
    <w:rsid w:val="006B214C"/>
    <w:rsid w:val="006D2A75"/>
    <w:rsid w:val="006E04C2"/>
    <w:rsid w:val="00746762"/>
    <w:rsid w:val="0077457A"/>
    <w:rsid w:val="00791451"/>
    <w:rsid w:val="007922AD"/>
    <w:rsid w:val="007B0A4F"/>
    <w:rsid w:val="007C5B2D"/>
    <w:rsid w:val="007D0107"/>
    <w:rsid w:val="007D658E"/>
    <w:rsid w:val="007E6DFA"/>
    <w:rsid w:val="007F7B94"/>
    <w:rsid w:val="00822F8C"/>
    <w:rsid w:val="0083160D"/>
    <w:rsid w:val="00841AD4"/>
    <w:rsid w:val="0089687B"/>
    <w:rsid w:val="008A490D"/>
    <w:rsid w:val="008C682A"/>
    <w:rsid w:val="008E37D7"/>
    <w:rsid w:val="00916E92"/>
    <w:rsid w:val="0092063D"/>
    <w:rsid w:val="009236ED"/>
    <w:rsid w:val="00933CC0"/>
    <w:rsid w:val="009370B2"/>
    <w:rsid w:val="009450F0"/>
    <w:rsid w:val="00972464"/>
    <w:rsid w:val="009741E5"/>
    <w:rsid w:val="0099109F"/>
    <w:rsid w:val="00A45461"/>
    <w:rsid w:val="00A87D8D"/>
    <w:rsid w:val="00AA7B3A"/>
    <w:rsid w:val="00AC11FD"/>
    <w:rsid w:val="00AF6DAC"/>
    <w:rsid w:val="00B43EF7"/>
    <w:rsid w:val="00B52DE2"/>
    <w:rsid w:val="00B6408D"/>
    <w:rsid w:val="00B66B1D"/>
    <w:rsid w:val="00BC0C40"/>
    <w:rsid w:val="00BD05A1"/>
    <w:rsid w:val="00BE5111"/>
    <w:rsid w:val="00C05002"/>
    <w:rsid w:val="00C51C90"/>
    <w:rsid w:val="00C54F0F"/>
    <w:rsid w:val="00C7043D"/>
    <w:rsid w:val="00C8042C"/>
    <w:rsid w:val="00CD22E0"/>
    <w:rsid w:val="00CE663F"/>
    <w:rsid w:val="00D0141E"/>
    <w:rsid w:val="00D02362"/>
    <w:rsid w:val="00D248DF"/>
    <w:rsid w:val="00D45050"/>
    <w:rsid w:val="00D720BC"/>
    <w:rsid w:val="00D73E56"/>
    <w:rsid w:val="00DB19BB"/>
    <w:rsid w:val="00DC12FD"/>
    <w:rsid w:val="00DD25FB"/>
    <w:rsid w:val="00E305A4"/>
    <w:rsid w:val="00E4378D"/>
    <w:rsid w:val="00E56B0C"/>
    <w:rsid w:val="00E81BD6"/>
    <w:rsid w:val="00EA5C32"/>
    <w:rsid w:val="00EB11E3"/>
    <w:rsid w:val="00F00030"/>
    <w:rsid w:val="00F13811"/>
    <w:rsid w:val="00F261AA"/>
    <w:rsid w:val="00F410B5"/>
    <w:rsid w:val="00F42F5D"/>
    <w:rsid w:val="00F478C8"/>
    <w:rsid w:val="00F7175E"/>
    <w:rsid w:val="00F73DDD"/>
    <w:rsid w:val="00F85339"/>
    <w:rsid w:val="00F86A75"/>
    <w:rsid w:val="00F962C2"/>
    <w:rsid w:val="00FA39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C32"/>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EA5C32"/>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A5C32"/>
    <w:rPr>
      <w:rFonts w:ascii="Arial" w:eastAsia="Times New Roman" w:hAnsi="Arial" w:cs="Arial"/>
      <w:b/>
      <w:color w:val="000000"/>
      <w:sz w:val="24"/>
      <w:szCs w:val="20"/>
      <w:lang w:val="es-ES_tradnl" w:eastAsia="es-ES"/>
    </w:rPr>
  </w:style>
  <w:style w:type="paragraph" w:styleId="Ttulo">
    <w:name w:val="Title"/>
    <w:basedOn w:val="Normal"/>
    <w:link w:val="TtuloCar"/>
    <w:qFormat/>
    <w:rsid w:val="00EA5C32"/>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EA5C32"/>
    <w:rPr>
      <w:rFonts w:ascii="Arial" w:eastAsia="Times New Roman" w:hAnsi="Arial" w:cs="Times New Roman"/>
      <w:b/>
      <w:sz w:val="24"/>
      <w:szCs w:val="24"/>
      <w:u w:val="single"/>
      <w:lang w:val="es-UY" w:eastAsia="es-ES"/>
    </w:rPr>
  </w:style>
  <w:style w:type="paragraph" w:styleId="Prrafodelista">
    <w:name w:val="List Paragraph"/>
    <w:basedOn w:val="Normal"/>
    <w:qFormat/>
    <w:rsid w:val="00325CF4"/>
    <w:pPr>
      <w:ind w:left="720"/>
      <w:contextualSpacing/>
    </w:pPr>
  </w:style>
  <w:style w:type="table" w:styleId="Tablaconcuadrcula">
    <w:name w:val="Table Grid"/>
    <w:basedOn w:val="Tablanormal"/>
    <w:uiPriority w:val="59"/>
    <w:rsid w:val="00916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B4823"/>
    <w:pPr>
      <w:tabs>
        <w:tab w:val="center" w:pos="4252"/>
        <w:tab w:val="right" w:pos="8504"/>
      </w:tabs>
    </w:pPr>
  </w:style>
  <w:style w:type="character" w:customStyle="1" w:styleId="EncabezadoCar">
    <w:name w:val="Encabezado Car"/>
    <w:basedOn w:val="Fuentedeprrafopredeter"/>
    <w:link w:val="Encabezado"/>
    <w:uiPriority w:val="99"/>
    <w:rsid w:val="001B4823"/>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1B4823"/>
    <w:pPr>
      <w:tabs>
        <w:tab w:val="center" w:pos="4252"/>
        <w:tab w:val="right" w:pos="8504"/>
      </w:tabs>
    </w:pPr>
  </w:style>
  <w:style w:type="character" w:customStyle="1" w:styleId="PiedepginaCar">
    <w:name w:val="Pie de página Car"/>
    <w:basedOn w:val="Fuentedeprrafopredeter"/>
    <w:link w:val="Piedepgina"/>
    <w:uiPriority w:val="99"/>
    <w:rsid w:val="001B4823"/>
    <w:rPr>
      <w:rFonts w:ascii="GothicPS" w:eastAsia="Times New Roman" w:hAnsi="GothicPS" w:cs="Times New Roman"/>
      <w:b/>
      <w:color w:val="000000"/>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C32"/>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EA5C32"/>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A5C32"/>
    <w:rPr>
      <w:rFonts w:ascii="Arial" w:eastAsia="Times New Roman" w:hAnsi="Arial" w:cs="Arial"/>
      <w:b/>
      <w:color w:val="000000"/>
      <w:sz w:val="24"/>
      <w:szCs w:val="20"/>
      <w:lang w:val="es-ES_tradnl" w:eastAsia="es-ES"/>
    </w:rPr>
  </w:style>
  <w:style w:type="paragraph" w:styleId="Ttulo">
    <w:name w:val="Title"/>
    <w:basedOn w:val="Normal"/>
    <w:link w:val="TtuloCar"/>
    <w:qFormat/>
    <w:rsid w:val="00EA5C32"/>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EA5C32"/>
    <w:rPr>
      <w:rFonts w:ascii="Arial" w:eastAsia="Times New Roman" w:hAnsi="Arial" w:cs="Times New Roman"/>
      <w:b/>
      <w:sz w:val="24"/>
      <w:szCs w:val="24"/>
      <w:u w:val="single"/>
      <w:lang w:val="es-UY" w:eastAsia="es-ES"/>
    </w:rPr>
  </w:style>
  <w:style w:type="paragraph" w:styleId="Prrafodelista">
    <w:name w:val="List Paragraph"/>
    <w:basedOn w:val="Normal"/>
    <w:qFormat/>
    <w:rsid w:val="00325CF4"/>
    <w:pPr>
      <w:ind w:left="720"/>
      <w:contextualSpacing/>
    </w:pPr>
  </w:style>
  <w:style w:type="table" w:styleId="Tablaconcuadrcula">
    <w:name w:val="Table Grid"/>
    <w:basedOn w:val="Tablanormal"/>
    <w:uiPriority w:val="59"/>
    <w:rsid w:val="00916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B4823"/>
    <w:pPr>
      <w:tabs>
        <w:tab w:val="center" w:pos="4252"/>
        <w:tab w:val="right" w:pos="8504"/>
      </w:tabs>
    </w:pPr>
  </w:style>
  <w:style w:type="character" w:customStyle="1" w:styleId="EncabezadoCar">
    <w:name w:val="Encabezado Car"/>
    <w:basedOn w:val="Fuentedeprrafopredeter"/>
    <w:link w:val="Encabezado"/>
    <w:uiPriority w:val="99"/>
    <w:rsid w:val="001B4823"/>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1B4823"/>
    <w:pPr>
      <w:tabs>
        <w:tab w:val="center" w:pos="4252"/>
        <w:tab w:val="right" w:pos="8504"/>
      </w:tabs>
    </w:pPr>
  </w:style>
  <w:style w:type="character" w:customStyle="1" w:styleId="PiedepginaCar">
    <w:name w:val="Pie de página Car"/>
    <w:basedOn w:val="Fuentedeprrafopredeter"/>
    <w:link w:val="Piedepgina"/>
    <w:uiPriority w:val="99"/>
    <w:rsid w:val="001B4823"/>
    <w:rPr>
      <w:rFonts w:ascii="GothicPS" w:eastAsia="Times New Roman" w:hAnsi="GothicPS" w:cs="Times New Roman"/>
      <w:b/>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1212</Words>
  <Characters>6672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MARIZA GONZALEZ PADILLA</dc:creator>
  <cp:lastModifiedBy>Lenovo User</cp:lastModifiedBy>
  <cp:revision>35</cp:revision>
  <cp:lastPrinted>2014-03-07T13:34:00Z</cp:lastPrinted>
  <dcterms:created xsi:type="dcterms:W3CDTF">2014-03-06T13:58:00Z</dcterms:created>
  <dcterms:modified xsi:type="dcterms:W3CDTF">2014-03-07T13:46:00Z</dcterms:modified>
</cp:coreProperties>
</file>