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25" w:rsidRDefault="00B74E2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74E25" w:rsidRDefault="00B74E2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74E25" w:rsidRDefault="00B74E2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74E25" w:rsidRDefault="00B74E2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74E25" w:rsidRDefault="00B74E2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19 DE FEBRERO DE 2014</w:t>
      </w:r>
    </w:p>
    <w:p w:rsidR="00B74E25" w:rsidRDefault="00B74E2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74E25" w:rsidRPr="00B74E25" w:rsidRDefault="00B74E2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74E25">
        <w:rPr>
          <w:rFonts w:ascii="Helvetica" w:hAnsi="Helvetica"/>
          <w:b/>
          <w:lang w:val="es-UY"/>
        </w:rPr>
        <w:t xml:space="preserve">(E. E. Nº 2013-17-1-0004822, </w:t>
      </w:r>
      <w:proofErr w:type="spellStart"/>
      <w:r w:rsidRPr="00B74E25">
        <w:rPr>
          <w:rFonts w:ascii="Helvetica" w:hAnsi="Helvetica"/>
          <w:b/>
          <w:lang w:val="es-UY"/>
        </w:rPr>
        <w:t>Ent</w:t>
      </w:r>
      <w:proofErr w:type="spellEnd"/>
      <w:r w:rsidRPr="00B74E25">
        <w:rPr>
          <w:rFonts w:ascii="Helvetica" w:hAnsi="Helvetica"/>
          <w:b/>
          <w:lang w:val="es-UY"/>
        </w:rPr>
        <w:t>. N° 589/14)</w:t>
      </w:r>
    </w:p>
    <w:p w:rsidR="00076098" w:rsidRDefault="0007609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76098" w:rsidRDefault="00076098" w:rsidP="00C66C6D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las actuaciones remitidas por </w:t>
      </w:r>
      <w:r w:rsidR="00ED1301">
        <w:rPr>
          <w:rFonts w:ascii="Arial" w:hAnsi="Arial" w:cs="Arial"/>
          <w:lang w:val="es-MX"/>
        </w:rPr>
        <w:t xml:space="preserve">la </w:t>
      </w:r>
      <w:r>
        <w:rPr>
          <w:rFonts w:ascii="Arial" w:hAnsi="Arial" w:cs="Arial"/>
          <w:lang w:val="es-MX"/>
        </w:rPr>
        <w:t>Contador</w:t>
      </w:r>
      <w:r w:rsidR="00ED130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Delegad</w:t>
      </w:r>
      <w:r w:rsidR="00ED130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en el Instituto Nacional de Colonización relacionadas con la reiteración del gasto derivado de  la adquisición de los padrones Nº 4.349 y 1.128 ubicados en la 3a Sección Catastral del Departamento de Maldonado;</w:t>
      </w:r>
    </w:p>
    <w:p w:rsidR="00D27AC8" w:rsidRDefault="00076098" w:rsidP="00C66C6D">
      <w:pPr>
        <w:spacing w:line="360" w:lineRule="auto"/>
        <w:ind w:firstLine="851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RESULTANDO: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con fecha 13.06.13, Doris Maribel Caballero Navarro, en carácter de única directora y presidente de TERRAFOX S.A., ofreció al Instituto la venta de los </w:t>
      </w:r>
      <w:r>
        <w:rPr>
          <w:rFonts w:ascii="Arial" w:hAnsi="Arial" w:cs="Arial"/>
          <w:lang w:val="es-MX"/>
        </w:rPr>
        <w:t xml:space="preserve">padrones Nº 4.349 y 1.128 de su propiedad, al amparo del </w:t>
      </w:r>
      <w:r w:rsidR="00ED130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</w:t>
      </w:r>
      <w:r w:rsidR="00ED1301">
        <w:rPr>
          <w:rFonts w:ascii="Arial" w:hAnsi="Arial" w:cs="Arial"/>
          <w:lang w:val="es-MX"/>
        </w:rPr>
        <w:t>ículo</w:t>
      </w:r>
      <w:r>
        <w:rPr>
          <w:rFonts w:ascii="Arial" w:hAnsi="Arial" w:cs="Arial"/>
          <w:lang w:val="es-MX"/>
        </w:rPr>
        <w:t xml:space="preserve"> 35 </w:t>
      </w:r>
      <w:r w:rsidR="009C79D6">
        <w:rPr>
          <w:rFonts w:ascii="Arial" w:hAnsi="Arial" w:cs="Arial"/>
          <w:lang w:val="es-MX"/>
        </w:rPr>
        <w:t xml:space="preserve">de la </w:t>
      </w:r>
      <w:r>
        <w:rPr>
          <w:rFonts w:ascii="Arial" w:hAnsi="Arial" w:cs="Arial"/>
          <w:lang w:val="es-MX"/>
        </w:rPr>
        <w:t xml:space="preserve">Ley Nº 11.029 (en la redacción conferida por el </w:t>
      </w:r>
      <w:r w:rsidR="00ED130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</w:t>
      </w:r>
      <w:r w:rsidR="00ED1301">
        <w:rPr>
          <w:rFonts w:ascii="Arial" w:hAnsi="Arial" w:cs="Arial"/>
          <w:lang w:val="es-MX"/>
        </w:rPr>
        <w:t>ículo</w:t>
      </w:r>
      <w:r>
        <w:rPr>
          <w:rFonts w:ascii="Arial" w:hAnsi="Arial" w:cs="Arial"/>
          <w:lang w:val="es-MX"/>
        </w:rPr>
        <w:t xml:space="preserve"> 15 de la Ley Nº 18.187 y de acuerdo a las modificaciones introducidas por la </w:t>
      </w:r>
      <w:r w:rsidR="00ED1301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ey 18.756), los que se encuentran ubicados en la 3ª Sección Catastral del Departamento de Maldonado y que sumados, cuentan con una </w:t>
      </w:r>
      <w:r>
        <w:rPr>
          <w:rFonts w:ascii="Arial" w:hAnsi="Arial" w:cs="Arial"/>
        </w:rPr>
        <w:t xml:space="preserve">superficie total de setecientos setenta y cinco hectáreas y tres mil cuatrocientos quince </w:t>
      </w:r>
      <w:r w:rsidRPr="00ED1301">
        <w:rPr>
          <w:rFonts w:ascii="Arial" w:hAnsi="Arial" w:cs="Arial"/>
          <w:spacing w:val="-8"/>
        </w:rPr>
        <w:t>metros</w:t>
      </w:r>
      <w:r w:rsidR="002E485B" w:rsidRPr="00ED1301">
        <w:rPr>
          <w:rFonts w:ascii="Arial" w:hAnsi="Arial" w:cs="Arial"/>
          <w:spacing w:val="-8"/>
        </w:rPr>
        <w:t xml:space="preserve"> (775 hectáreas y 3415 metros) </w:t>
      </w:r>
      <w:r w:rsidRPr="00ED1301">
        <w:rPr>
          <w:rFonts w:ascii="Arial" w:hAnsi="Arial" w:cs="Arial"/>
          <w:spacing w:val="-8"/>
        </w:rPr>
        <w:t>y cuyo precio fue fijado en U$S</w:t>
      </w:r>
      <w:r>
        <w:rPr>
          <w:rFonts w:ascii="Arial" w:hAnsi="Arial" w:cs="Arial"/>
        </w:rPr>
        <w:t xml:space="preserve"> 4.200.00</w:t>
      </w:r>
      <w:r w:rsidR="007E2401">
        <w:rPr>
          <w:rFonts w:ascii="Arial" w:hAnsi="Arial" w:cs="Arial"/>
        </w:rPr>
        <w:t>0;</w:t>
      </w:r>
      <w:r>
        <w:rPr>
          <w:rFonts w:ascii="Arial" w:hAnsi="Arial" w:cs="Arial"/>
          <w:b/>
          <w:bCs/>
          <w:lang w:val="es-MX"/>
        </w:rPr>
        <w:t xml:space="preserve">                              </w:t>
      </w:r>
      <w:r w:rsidR="00D27AC8">
        <w:rPr>
          <w:rFonts w:ascii="Arial" w:hAnsi="Arial" w:cs="Arial"/>
          <w:b/>
          <w:bCs/>
          <w:lang w:val="es-MX"/>
        </w:rPr>
        <w:t xml:space="preserve">        </w:t>
      </w:r>
    </w:p>
    <w:p w:rsidR="00076098" w:rsidRDefault="00C66C6D" w:rsidP="00ED1301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076098">
        <w:rPr>
          <w:rFonts w:ascii="Arial" w:hAnsi="Arial" w:cs="Arial"/>
          <w:b/>
          <w:bCs/>
          <w:lang w:val="es-MX"/>
        </w:rPr>
        <w:t>2)</w:t>
      </w:r>
      <w:r w:rsidR="00076098">
        <w:rPr>
          <w:rFonts w:ascii="Arial" w:hAnsi="Arial" w:cs="Arial"/>
          <w:lang w:val="es-MX"/>
        </w:rPr>
        <w:t xml:space="preserve"> que por Resolución Nº 20 de fecha 23.07.13, el Directorio dispuso ejercer el</w:t>
      </w:r>
      <w:r w:rsidR="00D27AC8">
        <w:rPr>
          <w:rFonts w:ascii="Arial" w:hAnsi="Arial" w:cs="Arial"/>
          <w:lang w:val="es-MX"/>
        </w:rPr>
        <w:t xml:space="preserve"> </w:t>
      </w:r>
      <w:r w:rsidR="00076098">
        <w:rPr>
          <w:rFonts w:ascii="Arial" w:hAnsi="Arial" w:cs="Arial"/>
          <w:lang w:val="es-MX"/>
        </w:rPr>
        <w:t xml:space="preserve">derecho de preferencia previsto en el Art. 35 de la Ley Nº 11.029 (en redacción dada por </w:t>
      </w:r>
      <w:r w:rsidR="00E16ECB">
        <w:rPr>
          <w:rFonts w:ascii="Arial" w:hAnsi="Arial" w:cs="Arial"/>
          <w:lang w:val="es-MX"/>
        </w:rPr>
        <w:t>A</w:t>
      </w:r>
      <w:r w:rsidR="00076098">
        <w:rPr>
          <w:rFonts w:ascii="Arial" w:hAnsi="Arial" w:cs="Arial"/>
          <w:lang w:val="es-MX"/>
        </w:rPr>
        <w:t>rt</w:t>
      </w:r>
      <w:r w:rsidR="00E16ECB">
        <w:rPr>
          <w:rFonts w:ascii="Arial" w:hAnsi="Arial" w:cs="Arial"/>
          <w:lang w:val="es-MX"/>
        </w:rPr>
        <w:t>ículo</w:t>
      </w:r>
      <w:r w:rsidR="00076098">
        <w:rPr>
          <w:rFonts w:ascii="Arial" w:hAnsi="Arial" w:cs="Arial"/>
          <w:lang w:val="es-MX"/>
        </w:rPr>
        <w:t xml:space="preserve"> 15 de la Ley Nº 18.187 y las modificaciones dispuestas por la </w:t>
      </w:r>
      <w:r w:rsidR="00E16ECB">
        <w:rPr>
          <w:rFonts w:ascii="Arial" w:hAnsi="Arial" w:cs="Arial"/>
          <w:lang w:val="es-MX"/>
        </w:rPr>
        <w:t>L</w:t>
      </w:r>
      <w:r w:rsidR="00076098">
        <w:rPr>
          <w:rFonts w:ascii="Arial" w:hAnsi="Arial" w:cs="Arial"/>
          <w:lang w:val="es-MX"/>
        </w:rPr>
        <w:t xml:space="preserve">ey Nº 18.756), para adquirir a TERRAFOX S.A., el campo integrado por los Padrones Nº 4349 y 1.128 de la 3º Sección </w:t>
      </w:r>
      <w:r w:rsidR="00076098" w:rsidRPr="00E16ECB">
        <w:rPr>
          <w:rFonts w:ascii="Arial" w:hAnsi="Arial" w:cs="Arial"/>
          <w:spacing w:val="-18"/>
          <w:lang w:val="es-MX"/>
        </w:rPr>
        <w:t>Judicial y Catastral</w:t>
      </w:r>
      <w:r w:rsidR="002E485B" w:rsidRPr="00E16ECB">
        <w:rPr>
          <w:rFonts w:ascii="Arial" w:hAnsi="Arial" w:cs="Arial"/>
          <w:spacing w:val="-18"/>
          <w:lang w:val="es-MX"/>
        </w:rPr>
        <w:t xml:space="preserve"> del Departamento de Maldonado </w:t>
      </w:r>
      <w:r w:rsidR="00076098" w:rsidRPr="00E16ECB">
        <w:rPr>
          <w:rFonts w:ascii="Arial" w:hAnsi="Arial" w:cs="Arial"/>
          <w:spacing w:val="-18"/>
          <w:lang w:val="es-MX"/>
        </w:rPr>
        <w:t>por un valor total de U$S</w:t>
      </w:r>
      <w:r w:rsidR="00076098">
        <w:rPr>
          <w:rFonts w:ascii="Arial" w:hAnsi="Arial" w:cs="Arial"/>
          <w:lang w:val="es-MX"/>
        </w:rPr>
        <w:t xml:space="preserve"> 4:200.000;</w:t>
      </w:r>
    </w:p>
    <w:p w:rsidR="00076098" w:rsidRDefault="00C66C6D" w:rsidP="00E16ECB">
      <w:pPr>
        <w:pStyle w:val="Textoindependiente"/>
        <w:ind w:firstLine="2694"/>
        <w:jc w:val="both"/>
        <w:rPr>
          <w:sz w:val="24"/>
        </w:rPr>
      </w:pPr>
      <w:r>
        <w:rPr>
          <w:b/>
          <w:bCs/>
          <w:sz w:val="24"/>
        </w:rPr>
        <w:t xml:space="preserve"> </w:t>
      </w:r>
      <w:r w:rsidR="00076098">
        <w:rPr>
          <w:b/>
          <w:bCs/>
          <w:sz w:val="24"/>
        </w:rPr>
        <w:t>3)</w:t>
      </w:r>
      <w:r w:rsidR="00076098">
        <w:rPr>
          <w:b/>
          <w:bCs/>
        </w:rPr>
        <w:t xml:space="preserve"> </w:t>
      </w:r>
      <w:r w:rsidR="00076098">
        <w:rPr>
          <w:sz w:val="24"/>
        </w:rPr>
        <w:t xml:space="preserve">que este Tribunal, en Sesión del 04.09.13, </w:t>
      </w:r>
      <w:r w:rsidR="00D27AC8">
        <w:rPr>
          <w:sz w:val="24"/>
        </w:rPr>
        <w:t xml:space="preserve">acordó observar el gasto debido a que </w:t>
      </w:r>
      <w:r w:rsidR="00076098">
        <w:rPr>
          <w:sz w:val="24"/>
        </w:rPr>
        <w:t>se comprometió sin crédito disponible en el rubro de imputación, contraviniendo lo dispuesto por el</w:t>
      </w:r>
      <w:r w:rsidR="00D27AC8">
        <w:rPr>
          <w:sz w:val="24"/>
        </w:rPr>
        <w:t xml:space="preserve"> Art</w:t>
      </w:r>
      <w:r w:rsidR="00E16ECB">
        <w:rPr>
          <w:sz w:val="24"/>
        </w:rPr>
        <w:t>ículo</w:t>
      </w:r>
      <w:r w:rsidR="00D27AC8">
        <w:rPr>
          <w:sz w:val="24"/>
        </w:rPr>
        <w:t xml:space="preserve"> 15 del T.O.C.A.F. y que</w:t>
      </w:r>
      <w:r w:rsidR="00076098">
        <w:rPr>
          <w:sz w:val="24"/>
        </w:rPr>
        <w:t xml:space="preserve"> la Resolución </w:t>
      </w:r>
      <w:r w:rsidR="00D27AC8">
        <w:rPr>
          <w:sz w:val="24"/>
        </w:rPr>
        <w:t>en la cual se</w:t>
      </w:r>
      <w:r w:rsidR="00076098">
        <w:rPr>
          <w:sz w:val="24"/>
        </w:rPr>
        <w:t xml:space="preserve"> dispuso ejercer el derecho de </w:t>
      </w:r>
      <w:r w:rsidR="00076098">
        <w:rPr>
          <w:sz w:val="24"/>
        </w:rPr>
        <w:lastRenderedPageBreak/>
        <w:t xml:space="preserve">preferencia </w:t>
      </w:r>
      <w:r w:rsidR="00F72259">
        <w:rPr>
          <w:sz w:val="24"/>
        </w:rPr>
        <w:t xml:space="preserve">previsto en </w:t>
      </w:r>
      <w:r w:rsidR="00076098">
        <w:rPr>
          <w:sz w:val="24"/>
        </w:rPr>
        <w:t xml:space="preserve">el </w:t>
      </w:r>
      <w:r w:rsidR="00E16ECB">
        <w:rPr>
          <w:sz w:val="24"/>
        </w:rPr>
        <w:t>A</w:t>
      </w:r>
      <w:r w:rsidR="00076098">
        <w:rPr>
          <w:sz w:val="24"/>
        </w:rPr>
        <w:t xml:space="preserve">rtículo 35 de la </w:t>
      </w:r>
      <w:r w:rsidR="00E16ECB">
        <w:rPr>
          <w:sz w:val="24"/>
        </w:rPr>
        <w:t>L</w:t>
      </w:r>
      <w:r w:rsidR="00076098">
        <w:rPr>
          <w:sz w:val="24"/>
        </w:rPr>
        <w:t>ey Nº 11.029 para adquirir el referido predio</w:t>
      </w:r>
      <w:r w:rsidR="00F72259">
        <w:rPr>
          <w:sz w:val="24"/>
        </w:rPr>
        <w:t>,</w:t>
      </w:r>
      <w:r w:rsidR="00076098">
        <w:rPr>
          <w:sz w:val="24"/>
        </w:rPr>
        <w:t xml:space="preserve"> fue notificada al propietario con anterioridad a su remisión a </w:t>
      </w:r>
      <w:r w:rsidR="002E485B">
        <w:rPr>
          <w:sz w:val="24"/>
        </w:rPr>
        <w:t>este</w:t>
      </w:r>
      <w:r w:rsidR="00076098">
        <w:rPr>
          <w:sz w:val="24"/>
        </w:rPr>
        <w:t xml:space="preserve"> Tribunal, contraviniendo lo dispuesto por el </w:t>
      </w:r>
      <w:r w:rsidR="00E16ECB">
        <w:rPr>
          <w:sz w:val="24"/>
        </w:rPr>
        <w:t>A</w:t>
      </w:r>
      <w:r w:rsidR="00076098">
        <w:rPr>
          <w:sz w:val="24"/>
        </w:rPr>
        <w:t>rtículo 211 Literal B) de la Constitución de la República;</w:t>
      </w:r>
    </w:p>
    <w:p w:rsidR="00076098" w:rsidRDefault="00C66C6D" w:rsidP="00E16ECB">
      <w:pPr>
        <w:spacing w:line="360" w:lineRule="auto"/>
        <w:ind w:firstLine="2694"/>
        <w:jc w:val="both"/>
        <w:rPr>
          <w:rFonts w:ascii="Arial" w:hAnsi="Arial" w:cs="Arial"/>
          <w:color w:val="FF0000"/>
          <w:szCs w:val="20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076098">
        <w:rPr>
          <w:rFonts w:ascii="Arial" w:hAnsi="Arial" w:cs="Arial"/>
          <w:b/>
          <w:bCs/>
          <w:lang w:val="es-MX"/>
        </w:rPr>
        <w:t>4)</w:t>
      </w:r>
      <w:r w:rsidR="00076098">
        <w:rPr>
          <w:rFonts w:ascii="Arial" w:hAnsi="Arial" w:cs="Arial"/>
          <w:lang w:val="es-MX"/>
        </w:rPr>
        <w:t xml:space="preserve"> </w:t>
      </w:r>
      <w:r w:rsidR="00076098">
        <w:rPr>
          <w:rFonts w:ascii="Arial" w:hAnsi="Arial"/>
          <w:lang w:val="es-MX"/>
        </w:rPr>
        <w:t>que</w:t>
      </w:r>
      <w:r w:rsidR="00076098">
        <w:rPr>
          <w:rFonts w:ascii="Arial" w:hAnsi="Arial" w:cs="Arial"/>
          <w:szCs w:val="20"/>
          <w:lang w:val="es-MX"/>
        </w:rPr>
        <w:t xml:space="preserve"> por Resolución N° 48 (Acta Nº 5172) de fecha 17.09.13, el Directorio dispuso reiterar el gasto, sin expresar fundamentos que sustenten tal proceder;  </w:t>
      </w:r>
    </w:p>
    <w:p w:rsidR="00076098" w:rsidRDefault="00076098" w:rsidP="00C66C6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1) </w:t>
      </w:r>
      <w:r w:rsidR="007E2401">
        <w:rPr>
          <w:rFonts w:ascii="Arial" w:hAnsi="Arial" w:cs="Arial"/>
          <w:spacing w:val="-3"/>
          <w:lang w:val="es-ES_tradnl"/>
        </w:rPr>
        <w:t>que</w:t>
      </w:r>
      <w:r>
        <w:rPr>
          <w:rFonts w:ascii="Arial" w:hAnsi="Arial" w:cs="Arial"/>
          <w:spacing w:val="-3"/>
          <w:lang w:val="es-ES_tradnl"/>
        </w:rPr>
        <w:t xml:space="preserve"> si bien el Art</w:t>
      </w:r>
      <w:r w:rsidR="00E16ECB">
        <w:rPr>
          <w:rFonts w:ascii="Arial" w:hAnsi="Arial" w:cs="Arial"/>
          <w:spacing w:val="-3"/>
          <w:lang w:val="es-ES_tradnl"/>
        </w:rPr>
        <w:t xml:space="preserve">ículo </w:t>
      </w:r>
      <w:r>
        <w:rPr>
          <w:rFonts w:ascii="Arial" w:hAnsi="Arial" w:cs="Arial"/>
          <w:spacing w:val="-3"/>
          <w:lang w:val="es-ES_tradnl"/>
        </w:rPr>
        <w:t>211 Lit</w:t>
      </w:r>
      <w:r w:rsidR="00E16ECB">
        <w:rPr>
          <w:rFonts w:ascii="Arial" w:hAnsi="Arial" w:cs="Arial"/>
          <w:spacing w:val="-3"/>
          <w:lang w:val="es-ES_tradnl"/>
        </w:rPr>
        <w:t>eral</w:t>
      </w:r>
      <w:r>
        <w:rPr>
          <w:rFonts w:ascii="Arial" w:hAnsi="Arial" w:cs="Arial"/>
          <w:spacing w:val="-3"/>
          <w:lang w:val="es-ES_tradnl"/>
        </w:rPr>
        <w:t xml:space="preserve"> B) de la Constitución de la República confiere la potestad al Ordenador de reiterar el gasto, ello implica el di</w:t>
      </w:r>
      <w:r w:rsidR="00D27AC8">
        <w:rPr>
          <w:rFonts w:ascii="Arial" w:hAnsi="Arial" w:cs="Arial"/>
          <w:spacing w:val="-3"/>
          <w:lang w:val="es-ES_tradnl"/>
        </w:rPr>
        <w:t>ctado de un acto administrativo</w:t>
      </w:r>
      <w:r>
        <w:rPr>
          <w:rFonts w:ascii="Arial" w:hAnsi="Arial" w:cs="Arial"/>
          <w:spacing w:val="-3"/>
          <w:lang w:val="es-ES_tradnl"/>
        </w:rPr>
        <w:t>,  por el cual se deben explicitar los extremos de hecho y fundamentos de derecho que motiva</w:t>
      </w:r>
      <w:r w:rsidR="00D27AC8">
        <w:rPr>
          <w:rFonts w:ascii="Arial" w:hAnsi="Arial" w:cs="Arial"/>
          <w:spacing w:val="-3"/>
          <w:lang w:val="es-ES_tradnl"/>
        </w:rPr>
        <w:t>n el mismo, lo que en este caso</w:t>
      </w:r>
      <w:r>
        <w:rPr>
          <w:rFonts w:ascii="Arial" w:hAnsi="Arial" w:cs="Arial"/>
          <w:spacing w:val="-3"/>
          <w:lang w:val="es-ES_tradnl"/>
        </w:rPr>
        <w:t xml:space="preserve"> no ocurrió en tanto no se esgrimió argumento alguno </w:t>
      </w:r>
      <w:r w:rsidR="00D27AC8">
        <w:rPr>
          <w:rFonts w:ascii="Arial" w:hAnsi="Arial" w:cs="Arial"/>
          <w:spacing w:val="-3"/>
          <w:lang w:val="es-ES_tradnl"/>
        </w:rPr>
        <w:t xml:space="preserve">al momento de </w:t>
      </w:r>
      <w:r>
        <w:rPr>
          <w:rFonts w:ascii="Arial" w:hAnsi="Arial" w:cs="Arial"/>
          <w:spacing w:val="-3"/>
          <w:lang w:val="es-ES_tradnl"/>
        </w:rPr>
        <w:t xml:space="preserve">reiterar el gasto (Resultando 4);   </w:t>
      </w:r>
    </w:p>
    <w:p w:rsidR="00076098" w:rsidRDefault="00076098" w:rsidP="00C66C6D">
      <w:pPr>
        <w:suppressAutoHyphens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>que, en consecuencia, se mantienen incambiadas las causales que ameritaron la observación formulada por este Tribunal en su acuerdo de fecha 04.09.13;</w:t>
      </w:r>
      <w:r>
        <w:rPr>
          <w:rFonts w:ascii="Arial" w:hAnsi="Arial" w:cs="Arial"/>
          <w:color w:val="0000FF"/>
        </w:rPr>
        <w:t xml:space="preserve">      </w:t>
      </w:r>
    </w:p>
    <w:p w:rsidR="00076098" w:rsidRDefault="00076098" w:rsidP="00E16ECB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ATENTO: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a lo expuesto precedentemente;</w:t>
      </w:r>
    </w:p>
    <w:p w:rsidR="00076098" w:rsidRDefault="00076098">
      <w:pPr>
        <w:pStyle w:val="Ttulo1"/>
        <w:rPr>
          <w:rFonts w:cs="Arial"/>
        </w:rPr>
      </w:pPr>
      <w:r>
        <w:rPr>
          <w:rFonts w:cs="Arial"/>
        </w:rPr>
        <w:t>EL TRIBUNAL ACUERDA</w:t>
      </w:r>
    </w:p>
    <w:p w:rsidR="00076098" w:rsidRDefault="00076098" w:rsidP="009C79D6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Mantener la observación formulada por este Tribu</w:t>
      </w:r>
      <w:r w:rsidR="002E485B">
        <w:rPr>
          <w:rFonts w:ascii="Arial" w:hAnsi="Arial" w:cs="Arial"/>
        </w:rPr>
        <w:t>nal en Sesión de fecha 04.09.13;</w:t>
      </w:r>
    </w:p>
    <w:p w:rsidR="00076098" w:rsidRDefault="00076098" w:rsidP="00E16E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Comunic</w:t>
      </w:r>
      <w:r w:rsidR="0048655B">
        <w:rPr>
          <w:rFonts w:ascii="Arial" w:hAnsi="Arial" w:cs="Arial"/>
        </w:rPr>
        <w:t xml:space="preserve">ar </w:t>
      </w:r>
      <w:r w:rsidR="002E485B">
        <w:rPr>
          <w:rFonts w:ascii="Arial" w:hAnsi="Arial" w:cs="Arial"/>
        </w:rPr>
        <w:t>a</w:t>
      </w:r>
      <w:r w:rsidR="0048655B">
        <w:rPr>
          <w:rFonts w:ascii="Arial" w:hAnsi="Arial" w:cs="Arial"/>
        </w:rPr>
        <w:t xml:space="preserve"> la Administración actuante</w:t>
      </w:r>
      <w:r w:rsidR="00E16ECB">
        <w:rPr>
          <w:rFonts w:ascii="Arial" w:hAnsi="Arial" w:cs="Arial"/>
        </w:rPr>
        <w:t>; y</w:t>
      </w:r>
    </w:p>
    <w:p w:rsidR="00E16ECB" w:rsidRPr="00E16ECB" w:rsidRDefault="00E16ECB" w:rsidP="00E16ECB">
      <w:pPr>
        <w:spacing w:line="360" w:lineRule="auto"/>
        <w:rPr>
          <w:rFonts w:ascii="Arial" w:hAnsi="Arial" w:cs="Arial"/>
          <w:b/>
        </w:rPr>
      </w:pPr>
      <w:r w:rsidRPr="00E16ECB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Pr="00E16ECB">
        <w:rPr>
          <w:rFonts w:ascii="Arial" w:hAnsi="Arial" w:cs="Arial"/>
        </w:rPr>
        <w:t>Dar cuenta a la Asamblea General.</w:t>
      </w:r>
    </w:p>
    <w:p w:rsidR="00E16ECB" w:rsidRPr="007E2401" w:rsidRDefault="00E16ECB" w:rsidP="00E16ECB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E16ECB" w:rsidRPr="007E2401" w:rsidSect="00B74E25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EE" w:rsidRDefault="004B07EE">
      <w:r>
        <w:separator/>
      </w:r>
    </w:p>
  </w:endnote>
  <w:endnote w:type="continuationSeparator" w:id="0">
    <w:p w:rsidR="004B07EE" w:rsidRDefault="004B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5B" w:rsidRDefault="004865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655B" w:rsidRDefault="004865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5B" w:rsidRDefault="004865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6C6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655B" w:rsidRDefault="004865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EE" w:rsidRDefault="004B07EE">
      <w:r>
        <w:separator/>
      </w:r>
    </w:p>
  </w:footnote>
  <w:footnote w:type="continuationSeparator" w:id="0">
    <w:p w:rsidR="004B07EE" w:rsidRDefault="004B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3B4A"/>
    <w:multiLevelType w:val="hybridMultilevel"/>
    <w:tmpl w:val="866EBEB8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D5B81"/>
    <w:multiLevelType w:val="hybridMultilevel"/>
    <w:tmpl w:val="9508D432"/>
    <w:lvl w:ilvl="0" w:tplc="EA4AD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C75982"/>
    <w:multiLevelType w:val="hybridMultilevel"/>
    <w:tmpl w:val="F8FA5A34"/>
    <w:lvl w:ilvl="0" w:tplc="2D3A7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E861F1"/>
    <w:multiLevelType w:val="hybridMultilevel"/>
    <w:tmpl w:val="712AE6CA"/>
    <w:lvl w:ilvl="0" w:tplc="500A1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91737"/>
    <w:multiLevelType w:val="hybridMultilevel"/>
    <w:tmpl w:val="26004B48"/>
    <w:lvl w:ilvl="0" w:tplc="F152834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E4088"/>
    <w:multiLevelType w:val="hybridMultilevel"/>
    <w:tmpl w:val="40126E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80617"/>
    <w:multiLevelType w:val="hybridMultilevel"/>
    <w:tmpl w:val="3D044BB6"/>
    <w:lvl w:ilvl="0" w:tplc="65DC2A4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59"/>
    <w:rsid w:val="00050DF7"/>
    <w:rsid w:val="00076098"/>
    <w:rsid w:val="00270CD0"/>
    <w:rsid w:val="002E485B"/>
    <w:rsid w:val="003A0AC3"/>
    <w:rsid w:val="0048655B"/>
    <w:rsid w:val="004B07EE"/>
    <w:rsid w:val="00507050"/>
    <w:rsid w:val="007526B8"/>
    <w:rsid w:val="007B6C6F"/>
    <w:rsid w:val="007E2401"/>
    <w:rsid w:val="00884410"/>
    <w:rsid w:val="009C79D6"/>
    <w:rsid w:val="00B74E25"/>
    <w:rsid w:val="00C66C6D"/>
    <w:rsid w:val="00D27AC8"/>
    <w:rsid w:val="00E16ECB"/>
    <w:rsid w:val="00ED1301"/>
    <w:rsid w:val="00EF4A8F"/>
    <w:rsid w:val="00F7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i/>
      <w:i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Cs/>
      <w:i/>
      <w:i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i/>
      <w:iCs/>
      <w:u w:val="single"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rFonts w:ascii="Arial" w:hAnsi="Arial" w:cs="Arial" w:hint="default"/>
      <w:b w:val="0"/>
      <w:bCs w:val="0"/>
      <w:strike w:val="0"/>
      <w:dstrike w:val="0"/>
      <w:color w:val="006699"/>
      <w:sz w:val="18"/>
      <w:szCs w:val="18"/>
      <w:u w:val="none"/>
      <w:effect w:val="non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" w:eastAsia="Arial Unicode MS" w:hAnsi="Arial" w:cs="Arial"/>
      <w:sz w:val="18"/>
      <w:szCs w:val="18"/>
    </w:rPr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 w:cs="Arial"/>
      <w:szCs w:val="18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 w:cs="Arial"/>
      <w:sz w:val="22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i/>
      <w:i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Cs/>
      <w:i/>
      <w:i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i/>
      <w:iCs/>
      <w:u w:val="single"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rFonts w:ascii="Arial" w:hAnsi="Arial" w:cs="Arial" w:hint="default"/>
      <w:b w:val="0"/>
      <w:bCs w:val="0"/>
      <w:strike w:val="0"/>
      <w:dstrike w:val="0"/>
      <w:color w:val="006699"/>
      <w:sz w:val="18"/>
      <w:szCs w:val="18"/>
      <w:u w:val="none"/>
      <w:effect w:val="non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" w:eastAsia="Arial Unicode MS" w:hAnsi="Arial" w:cs="Arial"/>
      <w:sz w:val="18"/>
      <w:szCs w:val="18"/>
    </w:rPr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 w:cs="Arial"/>
      <w:szCs w:val="18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 w:cs="Arial"/>
      <w:sz w:val="22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Nº 235</vt:lpstr>
    </vt:vector>
  </TitlesOfParts>
  <Company>TRIBUNAL DE CUENTAS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Nº 235</dc:title>
  <dc:subject/>
  <dc:creator>CONTRATACIONES 2</dc:creator>
  <cp:keywords/>
  <cp:lastModifiedBy> </cp:lastModifiedBy>
  <cp:revision>3</cp:revision>
  <cp:lastPrinted>2014-02-24T13:52:00Z</cp:lastPrinted>
  <dcterms:created xsi:type="dcterms:W3CDTF">2014-02-24T13:52:00Z</dcterms:created>
  <dcterms:modified xsi:type="dcterms:W3CDTF">2014-03-14T20:43:00Z</dcterms:modified>
</cp:coreProperties>
</file>