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DF" w:rsidRPr="003D0ADF" w:rsidRDefault="003D0ADF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3D0ADF">
        <w:rPr>
          <w:rFonts w:ascii="Helvetica" w:hAnsi="Helvetica"/>
          <w:b/>
          <w:sz w:val="24"/>
          <w:szCs w:val="24"/>
        </w:rPr>
        <w:t>RESOLUCION ADOPTADA POR EL</w:t>
      </w:r>
    </w:p>
    <w:p w:rsidR="003D0ADF" w:rsidRPr="003D0ADF" w:rsidRDefault="003D0ADF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3D0ADF">
        <w:rPr>
          <w:rFonts w:ascii="Helvetica" w:hAnsi="Helvetica"/>
          <w:b/>
          <w:sz w:val="24"/>
          <w:szCs w:val="24"/>
        </w:rPr>
        <w:t>TRIBUNAL DE CUENTAS</w:t>
      </w:r>
    </w:p>
    <w:p w:rsidR="003D0ADF" w:rsidRPr="003D0ADF" w:rsidRDefault="003D0ADF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3D0ADF">
        <w:rPr>
          <w:rFonts w:ascii="Helvetica" w:hAnsi="Helvetica"/>
          <w:b/>
          <w:sz w:val="24"/>
          <w:szCs w:val="24"/>
        </w:rPr>
        <w:t>EN SESION DE FECHA  DE 12 DE FEBRERO DE 2014</w:t>
      </w:r>
    </w:p>
    <w:p w:rsidR="003D0ADF" w:rsidRPr="003D0ADF" w:rsidRDefault="003D0ADF" w:rsidP="003D0ADF">
      <w:pPr>
        <w:tabs>
          <w:tab w:val="center" w:pos="4253"/>
        </w:tabs>
        <w:suppressAutoHyphens/>
        <w:jc w:val="center"/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</w:pPr>
      <w:r w:rsidRPr="003D0ADF">
        <w:rPr>
          <w:rFonts w:ascii="Helvetica" w:hAnsi="Helvetica"/>
          <w:b/>
          <w:sz w:val="24"/>
          <w:szCs w:val="24"/>
        </w:rPr>
        <w:t xml:space="preserve">(E. E. Nº </w:t>
      </w:r>
      <w:r w:rsidRPr="003D0AD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2014-17-1-0000722 E. Nº: 535/14) </w:t>
      </w:r>
    </w:p>
    <w:p w:rsidR="003D0ADF" w:rsidRPr="003D0ADF" w:rsidRDefault="003D0ADF" w:rsidP="003D0ADF">
      <w:pPr>
        <w:spacing w:after="0" w:line="36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</w:pPr>
    </w:p>
    <w:p w:rsidR="003D0ADF" w:rsidRPr="003D0ADF" w:rsidRDefault="003D0ADF" w:rsidP="003D0ADF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D0ADF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VISTO: 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>el Oficio Nº 40/2014 de fecha 16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de enero de 20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>14 remitido por la Junta Departamental de Canelones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relacionado con la solicitud de anuencia por parte de la Intendencia para conceder al Señor Andrés Evangelista </w:t>
      </w:r>
      <w:proofErr w:type="spellStart"/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>Peregalli</w:t>
      </w:r>
      <w:proofErr w:type="spellEnd"/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Díaz, exonerar el Tributo de Contribución Inmobiliaria y Tributos Conexos exceptuando la Tasa de Servicios Administrativos, correspondiente al Padrón N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º 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547, de la Localidad de Tala desde el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E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>jercicio 1998 y en lo sucesivo;</w:t>
      </w:r>
    </w:p>
    <w:p w:rsidR="003D0ADF" w:rsidRPr="003D0ADF" w:rsidRDefault="003D0ADF" w:rsidP="003D0ADF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D0ADF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RESULTANDO: </w:t>
      </w:r>
      <w:r w:rsidRPr="003D0ADF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1)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según surge de las actuaciones remitidas, el contribuyente solicitó la exoneración fundamentando que el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P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>adrón se encuentra en zona inundable;</w:t>
      </w:r>
    </w:p>
    <w:p w:rsidR="003D0ADF" w:rsidRPr="003D0ADF" w:rsidRDefault="003D0ADF" w:rsidP="003D0ADF">
      <w:pPr>
        <w:tabs>
          <w:tab w:val="left" w:pos="1985"/>
        </w:tabs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ab/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 </w:t>
      </w:r>
      <w:r w:rsidRPr="003D0ADF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2)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el Ejecutivo Departamental por Resolución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   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>Nº 13/06856 de fecha 2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de diciembre de 20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13, solicitó a la Junta Departamental la anuencia respectiva para conceder al Señor Andrés Evangelista </w:t>
      </w:r>
      <w:proofErr w:type="spellStart"/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>Peregalli</w:t>
      </w:r>
      <w:proofErr w:type="spellEnd"/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Díaz, exonerar el Tributo de Contribución Inmobiliaria y Tributos Conexos exceptuando la Tasa de Servicios Administrativos, correspondiente al Padrón N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º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547, de la Localidad de Tala desde el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E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>jercicio 1998 y en lo sucesivo;</w:t>
      </w:r>
    </w:p>
    <w:p w:rsidR="003D0ADF" w:rsidRPr="003D0ADF" w:rsidRDefault="003D0ADF" w:rsidP="003D0ADF">
      <w:pPr>
        <w:tabs>
          <w:tab w:val="left" w:pos="1985"/>
        </w:tabs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D0ADF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            </w:t>
      </w:r>
      <w:r w:rsidRPr="003D0ADF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3)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el Legislativo Departamental, por Resolución Nº 2242/2014 de fecha 9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de enero de 20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14, concedió la anuencia que le fuera solicitada, ad referéndum del Tribunal de Cuentas, por la mayoría de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veinte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votos en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veintiocho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Ediles presentes;  </w:t>
      </w:r>
    </w:p>
    <w:p w:rsidR="003D0ADF" w:rsidRPr="003D0ADF" w:rsidRDefault="003D0ADF" w:rsidP="003D0ADF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D0ADF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lastRenderedPageBreak/>
        <w:t xml:space="preserve">CONSIDERANDO: </w:t>
      </w:r>
      <w:r w:rsidRPr="003D0ADF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1)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se ha dado cumplimiento a lo dispuesto por los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A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rtículos 133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N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>umeral 2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)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(aplicable por reenvío del Art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ículo 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222) y 273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N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>umeral 3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)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de la Constitución de la República;</w:t>
      </w:r>
    </w:p>
    <w:p w:rsidR="003D0ADF" w:rsidRPr="003D0ADF" w:rsidRDefault="003D0ADF" w:rsidP="003D0ADF">
      <w:pPr>
        <w:tabs>
          <w:tab w:val="left" w:pos="2127"/>
        </w:tabs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ab/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   </w:t>
      </w:r>
      <w:r w:rsidRPr="003D0ADF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2)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asimismo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se cumplió con lo preceptuado por la Ordenanza Nº 62 de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e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ste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Tribunal,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en la redacción dada por la Resolución de 16 de agosto de 1995;</w:t>
      </w:r>
    </w:p>
    <w:p w:rsidR="003D0ADF" w:rsidRPr="003D0ADF" w:rsidRDefault="003D0ADF" w:rsidP="003D0ADF">
      <w:pPr>
        <w:tabs>
          <w:tab w:val="left" w:pos="2127"/>
        </w:tabs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ab/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   </w:t>
      </w:r>
      <w:r w:rsidRPr="003D0ADF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3)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el efecto en la recaudación de los tributos que tendrá la modificación de recursos que se aprueba deberá ser previsto en la próxima instancia presupuestal;</w:t>
      </w:r>
    </w:p>
    <w:p w:rsidR="003D0ADF" w:rsidRPr="003D0ADF" w:rsidRDefault="003D0ADF" w:rsidP="003D0ADF">
      <w:pPr>
        <w:widowControl w:val="0"/>
        <w:spacing w:after="0" w:line="360" w:lineRule="auto"/>
        <w:ind w:left="-839"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D0ADF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            ATENTO: </w:t>
      </w: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>a lo expuesto;</w:t>
      </w:r>
    </w:p>
    <w:p w:rsidR="003D0ADF" w:rsidRPr="003D0ADF" w:rsidRDefault="003D0ADF" w:rsidP="003D0ADF">
      <w:pPr>
        <w:spacing w:after="0" w:line="360" w:lineRule="auto"/>
        <w:ind w:left="720" w:hanging="1440"/>
        <w:jc w:val="center"/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</w:pPr>
      <w:r w:rsidRPr="003D0ADF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EL TRIBUNAL </w:t>
      </w:r>
      <w:r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POR MAYORIA </w:t>
      </w:r>
      <w:r w:rsidRPr="003D0ADF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ACUERDA</w:t>
      </w:r>
    </w:p>
    <w:p w:rsidR="003D0ADF" w:rsidRPr="003D0ADF" w:rsidRDefault="003D0ADF" w:rsidP="003D0AD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>No formular observaciones a la modificación de recursos remitida;</w:t>
      </w:r>
    </w:p>
    <w:p w:rsidR="003D0ADF" w:rsidRPr="003D0ADF" w:rsidRDefault="003D0ADF" w:rsidP="003D0AD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>Téngase presente lo expresado en el Considerando 3);</w:t>
      </w:r>
    </w:p>
    <w:p w:rsidR="003D0ADF" w:rsidRPr="003D0ADF" w:rsidRDefault="003D0ADF" w:rsidP="003D0AD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Comunicar a la Intendencia; y </w:t>
      </w:r>
    </w:p>
    <w:p w:rsidR="003D0ADF" w:rsidRPr="003D0ADF" w:rsidRDefault="003D0ADF" w:rsidP="003D0AD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3D0ADF">
        <w:rPr>
          <w:rFonts w:ascii="Arial" w:eastAsia="Times New Roman" w:hAnsi="Arial" w:cs="Times New Roman"/>
          <w:sz w:val="24"/>
          <w:szCs w:val="24"/>
          <w:lang w:val="es-ES" w:eastAsia="es-ES"/>
        </w:rPr>
        <w:t>Devolver las actuaciones.</w:t>
      </w:r>
    </w:p>
    <w:p w:rsidR="003D0ADF" w:rsidRPr="003D0ADF" w:rsidRDefault="003D0ADF" w:rsidP="003D0ADF">
      <w:pPr>
        <w:spacing w:after="0" w:line="360" w:lineRule="auto"/>
        <w:ind w:left="360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3D0ADF" w:rsidRDefault="003D0ADF" w:rsidP="003D0AD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3D0ADF" w:rsidRDefault="003D0ADF" w:rsidP="003D0AD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3D0ADF" w:rsidRDefault="003D0ADF"/>
    <w:p w:rsidR="003D0ADF" w:rsidRPr="003D0ADF" w:rsidRDefault="003D0ADF" w:rsidP="003D0A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:rsidR="003D0ADF" w:rsidRPr="003D0ADF" w:rsidRDefault="006717CF" w:rsidP="003D0AD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UY" w:eastAsia="es-ES"/>
        </w:rPr>
        <w:t xml:space="preserve">CONSTANCIA DE </w:t>
      </w:r>
      <w:r w:rsidR="000B5CA8" w:rsidRPr="003D0ADF">
        <w:rPr>
          <w:rFonts w:ascii="Arial" w:eastAsia="Times New Roman" w:hAnsi="Arial" w:cs="Arial"/>
          <w:b/>
          <w:sz w:val="24"/>
          <w:szCs w:val="24"/>
          <w:lang w:val="es-UY" w:eastAsia="es-ES"/>
        </w:rPr>
        <w:t xml:space="preserve">FUNDAMENTO DE VOTO NEGATIVO DE LA MINISTRA CONTADORA BEATRIZ MARTÍNEZ AREOSA </w:t>
      </w:r>
      <w:r w:rsidR="000B5CA8">
        <w:rPr>
          <w:rFonts w:ascii="Arial" w:eastAsia="Times New Roman" w:hAnsi="Arial" w:cs="Arial"/>
          <w:sz w:val="24"/>
          <w:szCs w:val="24"/>
          <w:lang w:val="es-UY" w:eastAsia="es-ES"/>
        </w:rPr>
        <w:t>“</w:t>
      </w:r>
      <w:r w:rsidR="003D0ADF" w:rsidRPr="003D0ADF">
        <w:rPr>
          <w:rFonts w:ascii="Arial" w:eastAsia="Times New Roman" w:hAnsi="Arial" w:cs="Arial"/>
          <w:sz w:val="24"/>
          <w:szCs w:val="24"/>
          <w:lang w:val="es-UY" w:eastAsia="es-ES"/>
        </w:rPr>
        <w:t>Tanto a nivel nacional como departamental, los tributos tienen origen en propuestas del Poder Ejecutivo aprobadas por el Legislativo, es decir tienen rango de ley a nivel nacional y de decreto, que es la ley departamental, cuando es en este ámbito que se crea o modifica un tributo.</w:t>
      </w:r>
    </w:p>
    <w:p w:rsidR="003D0ADF" w:rsidRPr="003D0ADF" w:rsidRDefault="003D0ADF" w:rsidP="003D0AD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lastRenderedPageBreak/>
        <w:t xml:space="preserve">Es esencial entonces la generalidad de la norma, que comprende a toda aquella </w:t>
      </w:r>
      <w:r w:rsidR="000B5CA8">
        <w:rPr>
          <w:rFonts w:ascii="Arial" w:eastAsia="Times New Roman" w:hAnsi="Arial" w:cs="Arial"/>
          <w:sz w:val="24"/>
          <w:szCs w:val="24"/>
          <w:lang w:val="es-UY" w:eastAsia="es-ES"/>
        </w:rPr>
        <w:t>P</w:t>
      </w:r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>ersona</w:t>
      </w:r>
      <w:r w:rsidR="000B5CA8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F</w:t>
      </w:r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 xml:space="preserve">ísica o </w:t>
      </w:r>
      <w:r w:rsidR="000B5CA8">
        <w:rPr>
          <w:rFonts w:ascii="Arial" w:eastAsia="Times New Roman" w:hAnsi="Arial" w:cs="Arial"/>
          <w:sz w:val="24"/>
          <w:szCs w:val="24"/>
          <w:lang w:val="es-UY" w:eastAsia="es-ES"/>
        </w:rPr>
        <w:t>J</w:t>
      </w:r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 xml:space="preserve">urídica, que está en determinada situación prevista en la ley. </w:t>
      </w:r>
    </w:p>
    <w:p w:rsidR="003D0ADF" w:rsidRPr="003D0ADF" w:rsidRDefault="003D0ADF" w:rsidP="003D0AD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>Nunca se determina el monto a pagar en relación a un sujeto pasivo con nombre y apellido, sino que cada uno será gravado en función de estar comprendido, como ya dijimos, en alguna situación prevista en la norma.</w:t>
      </w:r>
    </w:p>
    <w:p w:rsidR="003D0ADF" w:rsidRPr="003D0ADF" w:rsidRDefault="003D0ADF" w:rsidP="003D0AD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>Hemos votado sistemáticamente en forma negativa muchos casos similares en  que los contribuyentes comparecen argumentando que sus propiedades están mal aforadas o que su situación económica no les permite cumplir con lo adeudado.</w:t>
      </w:r>
    </w:p>
    <w:p w:rsidR="003D0ADF" w:rsidRPr="003D0ADF" w:rsidRDefault="003D0ADF" w:rsidP="003D0AD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 xml:space="preserve">Una comisión que opera en la Intendencia Municipal de Canelones se expide, aceptando una cantidad menor o nula y se envía el tema a la Junta Departamental que, como todas, tiene mayoría del </w:t>
      </w:r>
      <w:r w:rsidR="000B5CA8">
        <w:rPr>
          <w:rFonts w:ascii="Arial" w:eastAsia="Times New Roman" w:hAnsi="Arial" w:cs="Arial"/>
          <w:sz w:val="24"/>
          <w:szCs w:val="24"/>
          <w:lang w:val="es-UY" w:eastAsia="es-ES"/>
        </w:rPr>
        <w:t>P</w:t>
      </w:r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 xml:space="preserve">artido </w:t>
      </w:r>
      <w:r w:rsidR="000B5CA8">
        <w:rPr>
          <w:rFonts w:ascii="Arial" w:eastAsia="Times New Roman" w:hAnsi="Arial" w:cs="Arial"/>
          <w:sz w:val="24"/>
          <w:szCs w:val="24"/>
          <w:lang w:val="es-UY" w:eastAsia="es-ES"/>
        </w:rPr>
        <w:t>P</w:t>
      </w:r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>olítico al que pertenece el Intendente y ésta aprueba la propuesta de la Intendencia.</w:t>
      </w:r>
    </w:p>
    <w:p w:rsidR="003D0ADF" w:rsidRPr="003D0ADF" w:rsidRDefault="003D0ADF" w:rsidP="003D0AD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>Es decir que en cada caso el tributo queda fijado para aquella persona que hizo la gestión, persona conocida, con nombre y apellido.</w:t>
      </w:r>
    </w:p>
    <w:p w:rsidR="003D0ADF" w:rsidRPr="003D0ADF" w:rsidRDefault="003D0ADF" w:rsidP="003D0AD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 xml:space="preserve">A mi juicio, si hay propiedades mal aforadas, lo que corresponde es </w:t>
      </w:r>
      <w:proofErr w:type="spellStart"/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>reaforar</w:t>
      </w:r>
      <w:proofErr w:type="spellEnd"/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para quien gestionó y para todos aquellos contribuyentes que puedan estar en similar situación.</w:t>
      </w:r>
    </w:p>
    <w:p w:rsidR="003D0ADF" w:rsidRPr="003D0ADF" w:rsidRDefault="003D0ADF" w:rsidP="003D0AD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 xml:space="preserve">Y en el caso de que se acepta el argumento de que no se puede pagar, me pregunto: podría alguien presentarse ante la DGI, solicitando que disponga que </w:t>
      </w:r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lastRenderedPageBreak/>
        <w:t>quien le paga el sueldo no le descuente IRPF porque sus cargas familiares no le permiten hacerse cargo del tributo</w:t>
      </w:r>
      <w:proofErr w:type="gramStart"/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>?</w:t>
      </w:r>
      <w:proofErr w:type="gramEnd"/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      </w:t>
      </w:r>
    </w:p>
    <w:p w:rsidR="003D0ADF" w:rsidRPr="003D0ADF" w:rsidRDefault="003D0ADF" w:rsidP="003D0AD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>Es decir estamos ante la determinación de si se paga o no un tributo o de cuánto se paga según la persona que gestiona, lo que es absolutamente contrario a la determinación innominada que ha de tener todo tributo.</w:t>
      </w:r>
    </w:p>
    <w:p w:rsidR="003D0ADF" w:rsidRDefault="003D0ADF" w:rsidP="00426DB7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>Por eso mi voto contrario en este caso y en todos aquellos en que la cifra a abonar por concepto de tributo no es producto de estar comprendido en una situación prevista en una norma general, sino de la gestión de alguien que se conoce</w:t>
      </w:r>
      <w:r w:rsidR="000B5CA8">
        <w:rPr>
          <w:rFonts w:ascii="Arial" w:eastAsia="Times New Roman" w:hAnsi="Arial" w:cs="Arial"/>
          <w:sz w:val="24"/>
          <w:szCs w:val="24"/>
          <w:lang w:val="es-UY" w:eastAsia="es-ES"/>
        </w:rPr>
        <w:t>”</w:t>
      </w:r>
      <w:r w:rsidRPr="003D0ADF">
        <w:rPr>
          <w:rFonts w:ascii="Arial" w:eastAsia="Times New Roman" w:hAnsi="Arial" w:cs="Arial"/>
          <w:sz w:val="24"/>
          <w:szCs w:val="24"/>
          <w:lang w:val="es-UY" w:eastAsia="es-ES"/>
        </w:rPr>
        <w:t>.</w:t>
      </w:r>
    </w:p>
    <w:p w:rsidR="00CE4535" w:rsidRDefault="00CE4535" w:rsidP="00426DB7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:rsidR="00CE4535" w:rsidRDefault="00CE4535" w:rsidP="00426DB7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:rsidR="00CE4535" w:rsidRDefault="00CE4535" w:rsidP="00426DB7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:rsidR="00CE4535" w:rsidRDefault="00CE4535" w:rsidP="00426DB7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:rsidR="00CE4535" w:rsidRDefault="00CE4535" w:rsidP="00426DB7">
      <w:pPr>
        <w:spacing w:after="0" w:line="480" w:lineRule="auto"/>
        <w:jc w:val="both"/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s-UY" w:eastAsia="es-ES"/>
        </w:rPr>
        <w:t>mb</w:t>
      </w:r>
      <w:bookmarkStart w:id="0" w:name="_GoBack"/>
      <w:bookmarkEnd w:id="0"/>
      <w:proofErr w:type="spellEnd"/>
      <w:proofErr w:type="gramEnd"/>
    </w:p>
    <w:sectPr w:rsidR="00CE4535" w:rsidSect="00C57D9B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411DF"/>
    <w:multiLevelType w:val="hybridMultilevel"/>
    <w:tmpl w:val="6C463010"/>
    <w:lvl w:ilvl="0" w:tplc="370637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DF"/>
    <w:rsid w:val="00021FFD"/>
    <w:rsid w:val="000B5CA8"/>
    <w:rsid w:val="000B7458"/>
    <w:rsid w:val="003D0ADF"/>
    <w:rsid w:val="00426DB7"/>
    <w:rsid w:val="006717CF"/>
    <w:rsid w:val="009F076D"/>
    <w:rsid w:val="00C57D9B"/>
    <w:rsid w:val="00C759ED"/>
    <w:rsid w:val="00C95AEA"/>
    <w:rsid w:val="00C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33996E-FC23-4BF5-9A5C-2C2BF4E6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699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8</cp:revision>
  <cp:lastPrinted>2014-02-14T14:10:00Z</cp:lastPrinted>
  <dcterms:created xsi:type="dcterms:W3CDTF">2014-02-14T10:59:00Z</dcterms:created>
  <dcterms:modified xsi:type="dcterms:W3CDTF">2014-02-14T14:49:00Z</dcterms:modified>
</cp:coreProperties>
</file>