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06" w:rsidRDefault="0098390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83906" w:rsidRDefault="0098390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3906" w:rsidRDefault="0098390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83906" w:rsidRDefault="0098390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3906" w:rsidRDefault="0098390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19 DE FEBRERO DE  2014</w:t>
      </w:r>
    </w:p>
    <w:p w:rsidR="00983906" w:rsidRDefault="0098390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3906" w:rsidRPr="00983906" w:rsidRDefault="0098390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83906">
        <w:rPr>
          <w:rFonts w:ascii="Helvetica" w:hAnsi="Helvetica"/>
          <w:b/>
          <w:lang w:val="es-UY"/>
        </w:rPr>
        <w:t>(E. E. Nº 2014-17-1-0000481, Ent. N° 337/14)</w:t>
      </w:r>
    </w:p>
    <w:p w:rsidR="00983906" w:rsidRPr="00983906" w:rsidRDefault="0098390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83906" w:rsidRPr="00983906" w:rsidRDefault="00983906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983906" w:rsidRDefault="007D3CE1" w:rsidP="00983906">
      <w:pPr>
        <w:pStyle w:val="Textoindependiente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</w:t>
      </w:r>
      <w:r>
        <w:rPr>
          <w:rFonts w:ascii="Arial" w:hAnsi="Arial" w:cs="Arial"/>
        </w:rPr>
        <w:t xml:space="preserve">: las actuaciones remitidas por </w:t>
      </w:r>
      <w:r w:rsidR="00983906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="003F5A0B">
        <w:rPr>
          <w:rFonts w:ascii="Arial" w:hAnsi="Arial" w:cs="Arial"/>
        </w:rPr>
        <w:t>Administración</w:t>
      </w:r>
      <w:r w:rsidR="00983906">
        <w:rPr>
          <w:rFonts w:ascii="Arial" w:hAnsi="Arial" w:cs="Arial"/>
        </w:rPr>
        <w:t xml:space="preserve"> Nacional</w:t>
      </w:r>
      <w:r w:rsidR="003F5A0B">
        <w:rPr>
          <w:rFonts w:ascii="Arial" w:hAnsi="Arial" w:cs="Arial"/>
        </w:rPr>
        <w:t xml:space="preserve"> de Usinas y Transmisiones Eléctricas (</w:t>
      </w:r>
      <w:r>
        <w:rPr>
          <w:rFonts w:ascii="Arial" w:hAnsi="Arial" w:cs="Arial"/>
        </w:rPr>
        <w:t>UTE</w:t>
      </w:r>
      <w:r w:rsidR="003F5A0B">
        <w:rPr>
          <w:rFonts w:ascii="Arial" w:hAnsi="Arial" w:cs="Arial"/>
        </w:rPr>
        <w:t>)</w:t>
      </w:r>
      <w:r w:rsidR="000D1DD1">
        <w:rPr>
          <w:rFonts w:ascii="Arial" w:hAnsi="Arial" w:cs="Arial"/>
        </w:rPr>
        <w:t xml:space="preserve"> relacionadas con el C</w:t>
      </w:r>
      <w:r>
        <w:rPr>
          <w:rFonts w:ascii="Arial" w:hAnsi="Arial" w:cs="Arial"/>
        </w:rPr>
        <w:t>onvenio</w:t>
      </w:r>
      <w:r w:rsidR="000D1DD1">
        <w:rPr>
          <w:rFonts w:ascii="Arial" w:hAnsi="Arial" w:cs="Arial"/>
        </w:rPr>
        <w:t xml:space="preserve"> M</w:t>
      </w:r>
      <w:r w:rsidR="003F5A0B">
        <w:rPr>
          <w:rFonts w:ascii="Arial" w:hAnsi="Arial" w:cs="Arial"/>
        </w:rPr>
        <w:t>arco</w:t>
      </w:r>
      <w:r>
        <w:rPr>
          <w:rFonts w:ascii="Arial" w:hAnsi="Arial" w:cs="Arial"/>
        </w:rPr>
        <w:t xml:space="preserve"> a suscribir con </w:t>
      </w:r>
      <w:r w:rsidR="003F5A0B">
        <w:rPr>
          <w:rFonts w:ascii="Arial" w:hAnsi="Arial" w:cs="Arial"/>
        </w:rPr>
        <w:t>la Administración Nacional de Telecomunicaciones (</w:t>
      </w:r>
      <w:r>
        <w:rPr>
          <w:rFonts w:ascii="Arial" w:hAnsi="Arial" w:cs="Arial"/>
        </w:rPr>
        <w:t>ANTEL</w:t>
      </w:r>
      <w:r w:rsidR="003F5A0B">
        <w:rPr>
          <w:rFonts w:ascii="Arial" w:hAnsi="Arial" w:cs="Arial"/>
        </w:rPr>
        <w:t>) relacionados con el proyecto de construcción de un nuevo Centro de Datos</w:t>
      </w:r>
      <w:r>
        <w:rPr>
          <w:rFonts w:ascii="Arial" w:hAnsi="Arial" w:cs="Arial"/>
        </w:rPr>
        <w:t>;</w:t>
      </w:r>
    </w:p>
    <w:p w:rsidR="00983906" w:rsidRDefault="007D3CE1" w:rsidP="00983906">
      <w:pPr>
        <w:pStyle w:val="Textoindependiente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1)</w:t>
      </w:r>
      <w:r w:rsidR="00E826EB">
        <w:rPr>
          <w:rFonts w:ascii="Arial" w:hAnsi="Arial" w:cs="Arial"/>
          <w:b/>
        </w:rPr>
        <w:t xml:space="preserve"> </w:t>
      </w:r>
      <w:r w:rsidR="00E826EB" w:rsidRPr="00D37CCA">
        <w:rPr>
          <w:rFonts w:ascii="Arial" w:hAnsi="Arial" w:cs="Arial"/>
        </w:rPr>
        <w:t xml:space="preserve">que según surge de las actuaciones remitidas, ANTEL se </w:t>
      </w:r>
      <w:r w:rsidR="00D37CCA" w:rsidRPr="00D37CCA">
        <w:rPr>
          <w:rFonts w:ascii="Arial" w:hAnsi="Arial" w:cs="Arial"/>
        </w:rPr>
        <w:t>encuentra</w:t>
      </w:r>
      <w:r w:rsidR="00E826EB" w:rsidRPr="00D37CCA">
        <w:rPr>
          <w:rFonts w:ascii="Arial" w:hAnsi="Arial" w:cs="Arial"/>
        </w:rPr>
        <w:t xml:space="preserve"> </w:t>
      </w:r>
      <w:r w:rsidR="00D37CCA" w:rsidRPr="00D37CCA">
        <w:rPr>
          <w:rFonts w:ascii="Arial" w:hAnsi="Arial" w:cs="Arial"/>
        </w:rPr>
        <w:t>abocada</w:t>
      </w:r>
      <w:r w:rsidR="00E826EB" w:rsidRPr="00D37CCA">
        <w:rPr>
          <w:rFonts w:ascii="Arial" w:hAnsi="Arial" w:cs="Arial"/>
        </w:rPr>
        <w:t xml:space="preserve"> al desarrollo de servicios de Data Center orientado a dar </w:t>
      </w:r>
      <w:r w:rsidR="00D37CCA" w:rsidRPr="00D37CCA">
        <w:rPr>
          <w:rFonts w:ascii="Arial" w:hAnsi="Arial" w:cs="Arial"/>
        </w:rPr>
        <w:t>soporte</w:t>
      </w:r>
      <w:r w:rsidR="00E826EB" w:rsidRPr="00D37CCA">
        <w:rPr>
          <w:rFonts w:ascii="Arial" w:hAnsi="Arial" w:cs="Arial"/>
        </w:rPr>
        <w:t xml:space="preserve"> de infraestructura tecnológica de gran calidad. En </w:t>
      </w:r>
      <w:r w:rsidR="00995F7C">
        <w:rPr>
          <w:rFonts w:ascii="Arial" w:hAnsi="Arial" w:cs="Arial"/>
        </w:rPr>
        <w:t>t</w:t>
      </w:r>
      <w:r w:rsidR="00E826EB" w:rsidRPr="00D37CCA">
        <w:rPr>
          <w:rFonts w:ascii="Arial" w:hAnsi="Arial" w:cs="Arial"/>
        </w:rPr>
        <w:t xml:space="preserve">al sentido, </w:t>
      </w:r>
      <w:r w:rsidR="00995F7C">
        <w:rPr>
          <w:rFonts w:ascii="Arial" w:hAnsi="Arial" w:cs="Arial"/>
        </w:rPr>
        <w:t xml:space="preserve">se señala que </w:t>
      </w:r>
      <w:r w:rsidR="00E826EB" w:rsidRPr="00D37CCA">
        <w:rPr>
          <w:rFonts w:ascii="Arial" w:hAnsi="Arial" w:cs="Arial"/>
        </w:rPr>
        <w:t>ya se encuentra un Data Center operativo</w:t>
      </w:r>
      <w:r w:rsidR="000D1DD1">
        <w:rPr>
          <w:rFonts w:ascii="Arial" w:hAnsi="Arial" w:cs="Arial"/>
        </w:rPr>
        <w:t>,</w:t>
      </w:r>
      <w:r w:rsidR="00E826EB" w:rsidRPr="00D37CCA">
        <w:rPr>
          <w:rFonts w:ascii="Arial" w:hAnsi="Arial" w:cs="Arial"/>
        </w:rPr>
        <w:t xml:space="preserve"> y se propone la construcción y puesta en </w:t>
      </w:r>
      <w:r w:rsidR="00D37CCA" w:rsidRPr="00D37CCA">
        <w:rPr>
          <w:rFonts w:ascii="Arial" w:hAnsi="Arial" w:cs="Arial"/>
        </w:rPr>
        <w:t>marcha</w:t>
      </w:r>
      <w:r w:rsidR="00E826EB" w:rsidRPr="00D37CCA">
        <w:rPr>
          <w:rFonts w:ascii="Arial" w:hAnsi="Arial" w:cs="Arial"/>
        </w:rPr>
        <w:t xml:space="preserve"> de otro en la </w:t>
      </w:r>
      <w:r w:rsidR="00D37CCA" w:rsidRPr="00D37CCA">
        <w:rPr>
          <w:rFonts w:ascii="Arial" w:hAnsi="Arial" w:cs="Arial"/>
        </w:rPr>
        <w:t>proximidades</w:t>
      </w:r>
      <w:r w:rsidR="00995F7C">
        <w:rPr>
          <w:rFonts w:ascii="Arial" w:hAnsi="Arial" w:cs="Arial"/>
        </w:rPr>
        <w:t xml:space="preserve"> de la ciudad de Pando, D</w:t>
      </w:r>
      <w:r w:rsidR="00E826EB" w:rsidRPr="00D37CCA">
        <w:rPr>
          <w:rFonts w:ascii="Arial" w:hAnsi="Arial" w:cs="Arial"/>
        </w:rPr>
        <w:t xml:space="preserve">epartamento de </w:t>
      </w:r>
      <w:r w:rsidR="00995F7C">
        <w:rPr>
          <w:rFonts w:ascii="Arial" w:hAnsi="Arial" w:cs="Arial"/>
        </w:rPr>
        <w:t>C</w:t>
      </w:r>
      <w:r w:rsidR="00D37CCA" w:rsidRPr="00D37CCA">
        <w:rPr>
          <w:rFonts w:ascii="Arial" w:hAnsi="Arial" w:cs="Arial"/>
        </w:rPr>
        <w:t>anelones</w:t>
      </w:r>
      <w:r w:rsidR="00995F7C">
        <w:rPr>
          <w:rFonts w:ascii="Arial" w:hAnsi="Arial" w:cs="Arial"/>
        </w:rPr>
        <w:t>, que contará</w:t>
      </w:r>
      <w:r w:rsidR="00E826EB" w:rsidRPr="00D37CCA">
        <w:rPr>
          <w:rFonts w:ascii="Arial" w:hAnsi="Arial" w:cs="Arial"/>
        </w:rPr>
        <w:t xml:space="preserve"> con 4 salas </w:t>
      </w:r>
      <w:r w:rsidR="00D37CCA" w:rsidRPr="00D37CCA">
        <w:rPr>
          <w:rFonts w:ascii="Arial" w:hAnsi="Arial" w:cs="Arial"/>
        </w:rPr>
        <w:t>de servidores</w:t>
      </w:r>
      <w:r w:rsidR="00E826EB" w:rsidRPr="00D37CCA">
        <w:rPr>
          <w:rFonts w:ascii="Arial" w:hAnsi="Arial" w:cs="Arial"/>
        </w:rPr>
        <w:t xml:space="preserve">, salas de operaciones y áreas de internacional TIER III de Uptime </w:t>
      </w:r>
      <w:r w:rsidR="00D37CCA" w:rsidRPr="00D37CCA">
        <w:rPr>
          <w:rFonts w:ascii="Arial" w:hAnsi="Arial" w:cs="Arial"/>
        </w:rPr>
        <w:t>Instituto</w:t>
      </w:r>
      <w:r w:rsidR="00E826EB" w:rsidRPr="00D37CCA">
        <w:rPr>
          <w:rFonts w:ascii="Arial" w:hAnsi="Arial" w:cs="Arial"/>
        </w:rPr>
        <w:t>;</w:t>
      </w:r>
    </w:p>
    <w:p w:rsidR="00983906" w:rsidRDefault="00E826EB" w:rsidP="00983906">
      <w:pPr>
        <w:pStyle w:val="Textoindependiente"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D37CCA">
        <w:rPr>
          <w:rFonts w:ascii="Arial" w:hAnsi="Arial" w:cs="Arial"/>
        </w:rPr>
        <w:t xml:space="preserve">que </w:t>
      </w:r>
      <w:r w:rsidR="00995F7C">
        <w:rPr>
          <w:rFonts w:ascii="Arial" w:hAnsi="Arial" w:cs="Arial"/>
        </w:rPr>
        <w:t xml:space="preserve">se señala que </w:t>
      </w:r>
      <w:r w:rsidRPr="00D37CCA">
        <w:rPr>
          <w:rFonts w:ascii="Arial" w:hAnsi="Arial" w:cs="Arial"/>
        </w:rPr>
        <w:t xml:space="preserve">a raíz de </w:t>
      </w:r>
      <w:r w:rsidR="00995F7C">
        <w:rPr>
          <w:rFonts w:ascii="Arial" w:hAnsi="Arial" w:cs="Arial"/>
        </w:rPr>
        <w:t xml:space="preserve">las </w:t>
      </w:r>
      <w:r w:rsidRPr="00D37CCA">
        <w:rPr>
          <w:rFonts w:ascii="Arial" w:hAnsi="Arial" w:cs="Arial"/>
        </w:rPr>
        <w:t>gestiones realizadas entre UTE y ANTEL buscando una for</w:t>
      </w:r>
      <w:r w:rsidR="000D1DD1">
        <w:rPr>
          <w:rFonts w:ascii="Arial" w:hAnsi="Arial" w:cs="Arial"/>
        </w:rPr>
        <w:t>ma de trabajo coordinada entre O</w:t>
      </w:r>
      <w:r w:rsidRPr="00D37CCA">
        <w:rPr>
          <w:rFonts w:ascii="Arial" w:hAnsi="Arial" w:cs="Arial"/>
        </w:rPr>
        <w:t xml:space="preserve">rganismos públicos para aprovechar la </w:t>
      </w:r>
      <w:r w:rsidR="00D37CCA" w:rsidRPr="00D37CCA">
        <w:rPr>
          <w:rFonts w:ascii="Arial" w:hAnsi="Arial" w:cs="Arial"/>
        </w:rPr>
        <w:t>sinergia</w:t>
      </w:r>
      <w:r w:rsidRPr="00D37CCA">
        <w:rPr>
          <w:rFonts w:ascii="Arial" w:hAnsi="Arial" w:cs="Arial"/>
        </w:rPr>
        <w:t xml:space="preserve"> que de ello resulta, surge </w:t>
      </w:r>
      <w:r w:rsidR="000D1DD1">
        <w:rPr>
          <w:rFonts w:ascii="Arial" w:hAnsi="Arial" w:cs="Arial"/>
        </w:rPr>
        <w:t>la posibilidad de concretar un Acuerdo M</w:t>
      </w:r>
      <w:r w:rsidRPr="00D37CCA">
        <w:rPr>
          <w:rFonts w:ascii="Arial" w:hAnsi="Arial" w:cs="Arial"/>
        </w:rPr>
        <w:t>arco por el cual  ANTEL brindará el servicio de alojamiento de equipamiento de cómputos y comunicaciones a UTE en una de las 4 salas de servidores, el uso de una sala para personal de operación</w:t>
      </w:r>
      <w:r w:rsidR="000D1DD1">
        <w:rPr>
          <w:rFonts w:ascii="Arial" w:hAnsi="Arial" w:cs="Arial"/>
        </w:rPr>
        <w:t>, y una</w:t>
      </w:r>
      <w:r w:rsidRPr="00D37CCA">
        <w:rPr>
          <w:rFonts w:ascii="Arial" w:hAnsi="Arial" w:cs="Arial"/>
        </w:rPr>
        <w:t xml:space="preserve"> sala de </w:t>
      </w:r>
      <w:r w:rsidR="00D37CCA" w:rsidRPr="00D37CCA">
        <w:rPr>
          <w:rFonts w:ascii="Arial" w:hAnsi="Arial" w:cs="Arial"/>
        </w:rPr>
        <w:t>depósito</w:t>
      </w:r>
      <w:r w:rsidRPr="00D37CCA">
        <w:rPr>
          <w:rFonts w:ascii="Arial" w:hAnsi="Arial" w:cs="Arial"/>
        </w:rPr>
        <w:t xml:space="preserve"> para uso exclusivo</w:t>
      </w:r>
      <w:r w:rsidR="000D1DD1">
        <w:rPr>
          <w:rFonts w:ascii="Arial" w:hAnsi="Arial" w:cs="Arial"/>
        </w:rPr>
        <w:t>,</w:t>
      </w:r>
      <w:r w:rsidRPr="00D37CCA">
        <w:rPr>
          <w:rFonts w:ascii="Arial" w:hAnsi="Arial" w:cs="Arial"/>
        </w:rPr>
        <w:t xml:space="preserve"> garantizando los niveles de seguridad y autonomía requeridos por UTE;</w:t>
      </w:r>
    </w:p>
    <w:p w:rsidR="00983906" w:rsidRDefault="00D37CCA" w:rsidP="00983906">
      <w:pPr>
        <w:pStyle w:val="Textoindependiente"/>
        <w:spacing w:line="360" w:lineRule="auto"/>
        <w:ind w:firstLine="2835"/>
        <w:jc w:val="both"/>
        <w:rPr>
          <w:rFonts w:ascii="Arial" w:hAnsi="Arial" w:cs="Arial"/>
        </w:rPr>
      </w:pPr>
      <w:r w:rsidRPr="00D37CCA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7D3CE1">
        <w:rPr>
          <w:rFonts w:ascii="Arial" w:hAnsi="Arial" w:cs="Arial"/>
        </w:rPr>
        <w:t xml:space="preserve">que </w:t>
      </w:r>
      <w:r w:rsidR="00995F7C">
        <w:rPr>
          <w:rFonts w:ascii="Arial" w:hAnsi="Arial" w:cs="Arial"/>
        </w:rPr>
        <w:t xml:space="preserve">en tal sentido, en esta oportunidad </w:t>
      </w:r>
      <w:r w:rsidR="000D1DD1">
        <w:rPr>
          <w:rFonts w:ascii="Arial" w:hAnsi="Arial" w:cs="Arial"/>
        </w:rPr>
        <w:t>se remite Proyecto de C</w:t>
      </w:r>
      <w:r w:rsidR="007D3CE1">
        <w:rPr>
          <w:rFonts w:ascii="Arial" w:hAnsi="Arial" w:cs="Arial"/>
        </w:rPr>
        <w:t xml:space="preserve">onvenio a </w:t>
      </w:r>
      <w:r w:rsidR="00983906">
        <w:rPr>
          <w:rFonts w:ascii="Arial" w:hAnsi="Arial" w:cs="Arial"/>
        </w:rPr>
        <w:t>suscribir por</w:t>
      </w:r>
      <w:r w:rsidR="007D3CE1">
        <w:rPr>
          <w:rFonts w:ascii="Arial" w:hAnsi="Arial" w:cs="Arial"/>
        </w:rPr>
        <w:t xml:space="preserve"> ANTEL y UTE, cuyo objeto consiste en regular las condiciones de prestación de servicios de D</w:t>
      </w:r>
      <w:r w:rsidR="00862631">
        <w:rPr>
          <w:rFonts w:ascii="Arial" w:hAnsi="Arial" w:cs="Arial"/>
        </w:rPr>
        <w:t>a</w:t>
      </w:r>
      <w:r w:rsidR="007D3CE1">
        <w:rPr>
          <w:rFonts w:ascii="Arial" w:hAnsi="Arial" w:cs="Arial"/>
        </w:rPr>
        <w:t xml:space="preserve">ta Center por parte de </w:t>
      </w:r>
      <w:r w:rsidR="007D3CE1">
        <w:rPr>
          <w:rFonts w:ascii="Arial" w:hAnsi="Arial" w:cs="Arial"/>
        </w:rPr>
        <w:lastRenderedPageBreak/>
        <w:t xml:space="preserve">ANTEL a UTE así como la forma de pago por </w:t>
      </w:r>
      <w:r w:rsidR="00862631">
        <w:rPr>
          <w:rFonts w:ascii="Arial" w:hAnsi="Arial" w:cs="Arial"/>
        </w:rPr>
        <w:t>dichos</w:t>
      </w:r>
      <w:r w:rsidR="007D3CE1">
        <w:rPr>
          <w:rFonts w:ascii="Arial" w:hAnsi="Arial" w:cs="Arial"/>
        </w:rPr>
        <w:t xml:space="preserve"> </w:t>
      </w:r>
      <w:r w:rsidR="00862631">
        <w:rPr>
          <w:rFonts w:ascii="Arial" w:hAnsi="Arial" w:cs="Arial"/>
        </w:rPr>
        <w:t>servicios</w:t>
      </w:r>
      <w:r w:rsidR="007D3CE1">
        <w:rPr>
          <w:rFonts w:ascii="Arial" w:hAnsi="Arial" w:cs="Arial"/>
        </w:rPr>
        <w:t xml:space="preserve"> por parte de UTE a ANTEL;</w:t>
      </w:r>
    </w:p>
    <w:p w:rsidR="005A50A8" w:rsidRDefault="00D37CCA" w:rsidP="005A50A8">
      <w:pPr>
        <w:pStyle w:val="Textoindependiente"/>
        <w:spacing w:line="360" w:lineRule="auto"/>
        <w:ind w:firstLine="2835"/>
        <w:jc w:val="both"/>
        <w:rPr>
          <w:rFonts w:ascii="Arial" w:hAnsi="Arial" w:cs="Arial"/>
        </w:rPr>
      </w:pPr>
      <w:r w:rsidRPr="00D37CCA">
        <w:rPr>
          <w:rFonts w:ascii="Arial" w:hAnsi="Arial" w:cs="Arial"/>
          <w:b/>
        </w:rPr>
        <w:t>4</w:t>
      </w:r>
      <w:r w:rsidR="007D3CE1" w:rsidRPr="00D37CCA">
        <w:rPr>
          <w:rFonts w:ascii="Arial" w:hAnsi="Arial" w:cs="Arial"/>
          <w:b/>
        </w:rPr>
        <w:t>)</w:t>
      </w:r>
      <w:r w:rsidR="007D3CE1">
        <w:rPr>
          <w:rFonts w:ascii="Arial" w:hAnsi="Arial" w:cs="Arial"/>
        </w:rPr>
        <w:t xml:space="preserve"> que </w:t>
      </w:r>
      <w:r w:rsidR="00995F7C">
        <w:rPr>
          <w:rFonts w:ascii="Arial" w:hAnsi="Arial" w:cs="Arial"/>
        </w:rPr>
        <w:t>una vez construido el Data C</w:t>
      </w:r>
      <w:r>
        <w:rPr>
          <w:rFonts w:ascii="Arial" w:hAnsi="Arial" w:cs="Arial"/>
        </w:rPr>
        <w:t xml:space="preserve">enter por parte de ANTEL, </w:t>
      </w:r>
      <w:r w:rsidR="007D3CE1">
        <w:rPr>
          <w:rFonts w:ascii="Arial" w:hAnsi="Arial" w:cs="Arial"/>
        </w:rPr>
        <w:t>por intermedio del</w:t>
      </w:r>
      <w:r w:rsidR="007B3DE1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onvenio, el mismo</w:t>
      </w:r>
      <w:r w:rsidR="007B3DE1">
        <w:rPr>
          <w:rFonts w:ascii="Arial" w:hAnsi="Arial" w:cs="Arial"/>
        </w:rPr>
        <w:t xml:space="preserve"> se obliga a bridar el servicio</w:t>
      </w:r>
      <w:r w:rsidR="007D3CE1">
        <w:rPr>
          <w:rFonts w:ascii="Arial" w:hAnsi="Arial" w:cs="Arial"/>
        </w:rPr>
        <w:t xml:space="preserve"> de alojamiento a UTE en una sala de servidores de uso </w:t>
      </w:r>
      <w:r w:rsidR="00862631">
        <w:rPr>
          <w:rFonts w:ascii="Arial" w:hAnsi="Arial" w:cs="Arial"/>
        </w:rPr>
        <w:t>exclusivo</w:t>
      </w:r>
      <w:r w:rsidR="007D3CE1">
        <w:rPr>
          <w:rFonts w:ascii="Arial" w:hAnsi="Arial" w:cs="Arial"/>
        </w:rPr>
        <w:t xml:space="preserve">, </w:t>
      </w:r>
      <w:r w:rsidR="00862631">
        <w:rPr>
          <w:rFonts w:ascii="Arial" w:hAnsi="Arial" w:cs="Arial"/>
        </w:rPr>
        <w:t>así</w:t>
      </w:r>
      <w:r w:rsidR="007D3CE1">
        <w:rPr>
          <w:rFonts w:ascii="Arial" w:hAnsi="Arial" w:cs="Arial"/>
        </w:rPr>
        <w:t xml:space="preserve"> como el uso de una sala para personal de operación y otra para depós</w:t>
      </w:r>
      <w:r w:rsidR="007B3DE1">
        <w:rPr>
          <w:rFonts w:ascii="Arial" w:hAnsi="Arial" w:cs="Arial"/>
        </w:rPr>
        <w:t>ito, en los términos explicitados</w:t>
      </w:r>
      <w:r w:rsidR="007D3CE1">
        <w:rPr>
          <w:rFonts w:ascii="Arial" w:hAnsi="Arial" w:cs="Arial"/>
        </w:rPr>
        <w:t xml:space="preserve"> en el Anexo I</w:t>
      </w:r>
      <w:r w:rsidR="00995F7C">
        <w:rPr>
          <w:rFonts w:ascii="Arial" w:hAnsi="Arial" w:cs="Arial"/>
        </w:rPr>
        <w:t xml:space="preserve"> </w:t>
      </w:r>
      <w:r w:rsidR="007B3DE1">
        <w:rPr>
          <w:rFonts w:ascii="Arial" w:hAnsi="Arial" w:cs="Arial"/>
        </w:rPr>
        <w:t>que forma parte del presente C</w:t>
      </w:r>
      <w:r w:rsidR="007D3CE1">
        <w:rPr>
          <w:rFonts w:ascii="Arial" w:hAnsi="Arial" w:cs="Arial"/>
        </w:rPr>
        <w:t>onvenio</w:t>
      </w:r>
      <w:r w:rsidR="00343409">
        <w:rPr>
          <w:rFonts w:ascii="Arial" w:hAnsi="Arial" w:cs="Arial"/>
        </w:rPr>
        <w:t xml:space="preserve">. La sala de servidores </w:t>
      </w:r>
      <w:r w:rsidR="00862631">
        <w:rPr>
          <w:rFonts w:ascii="Arial" w:hAnsi="Arial" w:cs="Arial"/>
        </w:rPr>
        <w:t>destinada</w:t>
      </w:r>
      <w:r w:rsidR="00343409">
        <w:rPr>
          <w:rFonts w:ascii="Arial" w:hAnsi="Arial" w:cs="Arial"/>
        </w:rPr>
        <w:t xml:space="preserve"> a UTE contará con sistema de suministro de </w:t>
      </w:r>
      <w:r w:rsidR="00995F7C">
        <w:rPr>
          <w:rFonts w:ascii="Arial" w:hAnsi="Arial" w:cs="Arial"/>
        </w:rPr>
        <w:t>e</w:t>
      </w:r>
      <w:r w:rsidR="00343409">
        <w:rPr>
          <w:rFonts w:ascii="Arial" w:hAnsi="Arial" w:cs="Arial"/>
        </w:rPr>
        <w:t>nerg</w:t>
      </w:r>
      <w:r w:rsidR="00995F7C">
        <w:rPr>
          <w:rFonts w:ascii="Arial" w:hAnsi="Arial" w:cs="Arial"/>
        </w:rPr>
        <w:t>í</w:t>
      </w:r>
      <w:r w:rsidR="00343409">
        <w:rPr>
          <w:rFonts w:ascii="Arial" w:hAnsi="Arial" w:cs="Arial"/>
        </w:rPr>
        <w:t xml:space="preserve">a eléctrica ininterrumpida, sistema de aire acondicionado de precisión, sistema de detección y extinción de incendios, incluyendo los servicios de monitoreo, operación y mantenimiento </w:t>
      </w:r>
      <w:r w:rsidR="00862631">
        <w:rPr>
          <w:rFonts w:ascii="Arial" w:hAnsi="Arial" w:cs="Arial"/>
        </w:rPr>
        <w:t>correspondientes</w:t>
      </w:r>
      <w:r w:rsidR="00343409">
        <w:rPr>
          <w:rFonts w:ascii="Arial" w:hAnsi="Arial" w:cs="Arial"/>
        </w:rPr>
        <w:t xml:space="preserve"> a dicha infraestructura</w:t>
      </w:r>
      <w:r w:rsidR="007B3DE1">
        <w:rPr>
          <w:rFonts w:ascii="Arial" w:hAnsi="Arial" w:cs="Arial"/>
        </w:rPr>
        <w:t>,</w:t>
      </w:r>
      <w:r w:rsidR="00343409">
        <w:rPr>
          <w:rFonts w:ascii="Arial" w:hAnsi="Arial" w:cs="Arial"/>
        </w:rPr>
        <w:t xml:space="preserve"> según lo descrito en el </w:t>
      </w:r>
      <w:r w:rsidR="00995F7C">
        <w:rPr>
          <w:rFonts w:ascii="Arial" w:hAnsi="Arial" w:cs="Arial"/>
        </w:rPr>
        <w:t>A</w:t>
      </w:r>
      <w:r w:rsidR="00343409">
        <w:rPr>
          <w:rFonts w:ascii="Arial" w:hAnsi="Arial" w:cs="Arial"/>
        </w:rPr>
        <w:t>nexo I, que forma parte de</w:t>
      </w:r>
      <w:r w:rsidR="007B3DE1">
        <w:rPr>
          <w:rFonts w:ascii="Arial" w:hAnsi="Arial" w:cs="Arial"/>
        </w:rPr>
        <w:t>l C</w:t>
      </w:r>
      <w:r w:rsidR="00343409">
        <w:rPr>
          <w:rFonts w:ascii="Arial" w:hAnsi="Arial" w:cs="Arial"/>
        </w:rPr>
        <w:t xml:space="preserve">onvenio. UTE podrá disponer la </w:t>
      </w:r>
      <w:r w:rsidR="00862631">
        <w:rPr>
          <w:rFonts w:ascii="Arial" w:hAnsi="Arial" w:cs="Arial"/>
        </w:rPr>
        <w:t>instalación</w:t>
      </w:r>
      <w:r w:rsidR="00343409">
        <w:rPr>
          <w:rFonts w:ascii="Arial" w:hAnsi="Arial" w:cs="Arial"/>
        </w:rPr>
        <w:t xml:space="preserve"> de equipamiento de </w:t>
      </w:r>
      <w:r w:rsidR="007B3DE1">
        <w:rPr>
          <w:rFonts w:ascii="Arial" w:hAnsi="Arial" w:cs="Arial"/>
        </w:rPr>
        <w:t>la</w:t>
      </w:r>
      <w:r w:rsidR="00343409">
        <w:rPr>
          <w:rFonts w:ascii="Arial" w:hAnsi="Arial" w:cs="Arial"/>
        </w:rPr>
        <w:t xml:space="preserve"> sala como ser el cableado de datos, gabinetes, equipamiento de comunicaciones, servidores, en el marco del m</w:t>
      </w:r>
      <w:r w:rsidR="00813E47">
        <w:rPr>
          <w:rFonts w:ascii="Arial" w:hAnsi="Arial" w:cs="Arial"/>
        </w:rPr>
        <w:t>an</w:t>
      </w:r>
      <w:r w:rsidR="00343409">
        <w:rPr>
          <w:rFonts w:ascii="Arial" w:hAnsi="Arial" w:cs="Arial"/>
        </w:rPr>
        <w:t>ual de normas de Data Center de A</w:t>
      </w:r>
      <w:r w:rsidR="00B23341">
        <w:rPr>
          <w:rFonts w:ascii="Arial" w:hAnsi="Arial" w:cs="Arial"/>
        </w:rPr>
        <w:t>NTEL</w:t>
      </w:r>
      <w:r w:rsidR="00343409">
        <w:rPr>
          <w:rFonts w:ascii="Arial" w:hAnsi="Arial" w:cs="Arial"/>
        </w:rPr>
        <w:t xml:space="preserve">. Los servicios </w:t>
      </w:r>
      <w:r w:rsidR="009C4508">
        <w:rPr>
          <w:rFonts w:ascii="Arial" w:hAnsi="Arial" w:cs="Arial"/>
        </w:rPr>
        <w:t xml:space="preserve">descritos deberán estar en </w:t>
      </w:r>
      <w:r w:rsidR="00862631">
        <w:rPr>
          <w:rFonts w:ascii="Arial" w:hAnsi="Arial" w:cs="Arial"/>
        </w:rPr>
        <w:t>funcionamiento</w:t>
      </w:r>
      <w:r w:rsidR="009C4508">
        <w:rPr>
          <w:rFonts w:ascii="Arial" w:hAnsi="Arial" w:cs="Arial"/>
        </w:rPr>
        <w:t xml:space="preserve"> dentro de los 30 </w:t>
      </w:r>
      <w:r w:rsidR="007B3DE1">
        <w:rPr>
          <w:rFonts w:ascii="Arial" w:hAnsi="Arial" w:cs="Arial"/>
        </w:rPr>
        <w:t>meses desde la suscripción del C</w:t>
      </w:r>
      <w:r w:rsidR="009C4508">
        <w:rPr>
          <w:rFonts w:ascii="Arial" w:hAnsi="Arial" w:cs="Arial"/>
        </w:rPr>
        <w:t xml:space="preserve">onvenio, </w:t>
      </w:r>
      <w:r w:rsidR="00862631">
        <w:rPr>
          <w:rFonts w:ascii="Arial" w:hAnsi="Arial" w:cs="Arial"/>
        </w:rPr>
        <w:t>labrando</w:t>
      </w:r>
      <w:r w:rsidR="009C4508">
        <w:rPr>
          <w:rFonts w:ascii="Arial" w:hAnsi="Arial" w:cs="Arial"/>
        </w:rPr>
        <w:t xml:space="preserve"> un acta de puesta a disposición de la sala de uso exclusivo;</w:t>
      </w:r>
    </w:p>
    <w:p w:rsidR="005A50A8" w:rsidRDefault="00C31426" w:rsidP="005A50A8">
      <w:pPr>
        <w:pStyle w:val="Textoindependiente"/>
        <w:spacing w:line="360" w:lineRule="auto"/>
        <w:ind w:firstLine="2835"/>
        <w:jc w:val="both"/>
        <w:rPr>
          <w:rFonts w:ascii="Arial" w:hAnsi="Arial" w:cs="Arial"/>
        </w:rPr>
      </w:pPr>
      <w:r w:rsidRPr="00B23341">
        <w:rPr>
          <w:rFonts w:ascii="Arial" w:hAnsi="Arial" w:cs="Arial"/>
          <w:b/>
        </w:rPr>
        <w:t>5</w:t>
      </w:r>
      <w:r w:rsidR="009C4508" w:rsidRPr="00B23341">
        <w:rPr>
          <w:rFonts w:ascii="Arial" w:hAnsi="Arial" w:cs="Arial"/>
          <w:b/>
        </w:rPr>
        <w:t>)</w:t>
      </w:r>
      <w:r w:rsidR="009C4508">
        <w:rPr>
          <w:rFonts w:ascii="Arial" w:hAnsi="Arial" w:cs="Arial"/>
        </w:rPr>
        <w:t xml:space="preserve"> por su parte</w:t>
      </w:r>
      <w:r w:rsidR="00B23341">
        <w:rPr>
          <w:rFonts w:ascii="Arial" w:hAnsi="Arial" w:cs="Arial"/>
        </w:rPr>
        <w:t>,</w:t>
      </w:r>
      <w:r w:rsidR="009C4508">
        <w:rPr>
          <w:rFonts w:ascii="Arial" w:hAnsi="Arial" w:cs="Arial"/>
        </w:rPr>
        <w:t xml:space="preserve"> UTE  </w:t>
      </w:r>
      <w:r w:rsidR="00862631">
        <w:rPr>
          <w:rFonts w:ascii="Arial" w:hAnsi="Arial" w:cs="Arial"/>
        </w:rPr>
        <w:t>suministrará</w:t>
      </w:r>
      <w:r w:rsidR="009C4508">
        <w:rPr>
          <w:rFonts w:ascii="Arial" w:hAnsi="Arial" w:cs="Arial"/>
        </w:rPr>
        <w:t xml:space="preserve"> la energía del Data Ce</w:t>
      </w:r>
      <w:r w:rsidR="00862631">
        <w:rPr>
          <w:rFonts w:ascii="Arial" w:hAnsi="Arial" w:cs="Arial"/>
        </w:rPr>
        <w:t>n</w:t>
      </w:r>
      <w:r w:rsidR="009C4508">
        <w:rPr>
          <w:rFonts w:ascii="Arial" w:hAnsi="Arial" w:cs="Arial"/>
        </w:rPr>
        <w:t>ter. La modalidad de intercambio de los servic</w:t>
      </w:r>
      <w:r w:rsidR="007B3DE1">
        <w:rPr>
          <w:rFonts w:ascii="Arial" w:hAnsi="Arial" w:cs="Arial"/>
        </w:rPr>
        <w:t>ios</w:t>
      </w:r>
      <w:r w:rsidR="009C4508">
        <w:rPr>
          <w:rFonts w:ascii="Arial" w:hAnsi="Arial" w:cs="Arial"/>
        </w:rPr>
        <w:t xml:space="preserve"> implicar</w:t>
      </w:r>
      <w:r w:rsidR="00B23341">
        <w:rPr>
          <w:rFonts w:ascii="Arial" w:hAnsi="Arial" w:cs="Arial"/>
        </w:rPr>
        <w:t>á</w:t>
      </w:r>
      <w:r w:rsidR="009C4508">
        <w:rPr>
          <w:rFonts w:ascii="Arial" w:hAnsi="Arial" w:cs="Arial"/>
        </w:rPr>
        <w:t xml:space="preserve"> que los precios de los </w:t>
      </w:r>
      <w:r w:rsidR="00862631">
        <w:rPr>
          <w:rFonts w:ascii="Arial" w:hAnsi="Arial" w:cs="Arial"/>
        </w:rPr>
        <w:t>servicios</w:t>
      </w:r>
      <w:r w:rsidR="009C4508">
        <w:rPr>
          <w:rFonts w:ascii="Arial" w:hAnsi="Arial" w:cs="Arial"/>
        </w:rPr>
        <w:t xml:space="preserve"> de Data Center</w:t>
      </w:r>
      <w:r w:rsidR="00712C1B">
        <w:rPr>
          <w:rFonts w:ascii="Arial" w:hAnsi="Arial" w:cs="Arial"/>
        </w:rPr>
        <w:t xml:space="preserve"> que ANTEL provea a UTE se compensarán con los precios que cobre UTE por el uso de energía eléctrica de la</w:t>
      </w:r>
      <w:r w:rsidR="00862631">
        <w:rPr>
          <w:rFonts w:ascii="Arial" w:hAnsi="Arial" w:cs="Arial"/>
        </w:rPr>
        <w:t>s</w:t>
      </w:r>
      <w:r w:rsidR="00712C1B">
        <w:rPr>
          <w:rFonts w:ascii="Arial" w:hAnsi="Arial" w:cs="Arial"/>
        </w:rPr>
        <w:t xml:space="preserve"> salas no afectadas a UTE. Los montos involucrados forman parte del presente acuerdo y </w:t>
      </w:r>
      <w:r w:rsidR="00862631">
        <w:rPr>
          <w:rFonts w:ascii="Arial" w:hAnsi="Arial" w:cs="Arial"/>
        </w:rPr>
        <w:t>surgen</w:t>
      </w:r>
      <w:r w:rsidR="00712C1B">
        <w:rPr>
          <w:rFonts w:ascii="Arial" w:hAnsi="Arial" w:cs="Arial"/>
        </w:rPr>
        <w:t xml:space="preserve"> del A</w:t>
      </w:r>
      <w:r w:rsidR="007B3DE1">
        <w:rPr>
          <w:rFonts w:ascii="Arial" w:hAnsi="Arial" w:cs="Arial"/>
        </w:rPr>
        <w:t>nexo</w:t>
      </w:r>
      <w:r w:rsidR="00D37CCA">
        <w:rPr>
          <w:rFonts w:ascii="Arial" w:hAnsi="Arial" w:cs="Arial"/>
        </w:rPr>
        <w:t xml:space="preserve"> </w:t>
      </w:r>
      <w:r w:rsidR="00712C1B">
        <w:rPr>
          <w:rFonts w:ascii="Arial" w:hAnsi="Arial" w:cs="Arial"/>
        </w:rPr>
        <w:t xml:space="preserve">II. Todo saldo </w:t>
      </w:r>
      <w:r w:rsidR="00862631">
        <w:rPr>
          <w:rFonts w:ascii="Arial" w:hAnsi="Arial" w:cs="Arial"/>
        </w:rPr>
        <w:t>remanente</w:t>
      </w:r>
      <w:r w:rsidR="007C0911">
        <w:rPr>
          <w:rFonts w:ascii="Arial" w:hAnsi="Arial" w:cs="Arial"/>
        </w:rPr>
        <w:t xml:space="preserve"> al </w:t>
      </w:r>
      <w:r w:rsidR="00862631">
        <w:rPr>
          <w:rFonts w:ascii="Arial" w:hAnsi="Arial" w:cs="Arial"/>
        </w:rPr>
        <w:t>término</w:t>
      </w:r>
      <w:r w:rsidR="007C0911">
        <w:rPr>
          <w:rFonts w:ascii="Arial" w:hAnsi="Arial" w:cs="Arial"/>
        </w:rPr>
        <w:t xml:space="preserve"> del plazo contractual  </w:t>
      </w:r>
      <w:r w:rsidR="00862631">
        <w:rPr>
          <w:rFonts w:ascii="Arial" w:hAnsi="Arial" w:cs="Arial"/>
        </w:rPr>
        <w:t>inicial</w:t>
      </w:r>
      <w:r w:rsidR="007C0911">
        <w:rPr>
          <w:rFonts w:ascii="Arial" w:hAnsi="Arial" w:cs="Arial"/>
        </w:rPr>
        <w:t xml:space="preserve"> de 20 años deberá ser cancelado por UTE en un </w:t>
      </w:r>
      <w:r w:rsidR="00862631">
        <w:rPr>
          <w:rFonts w:ascii="Arial" w:hAnsi="Arial" w:cs="Arial"/>
        </w:rPr>
        <w:t>término</w:t>
      </w:r>
      <w:r w:rsidR="007C0911">
        <w:rPr>
          <w:rFonts w:ascii="Arial" w:hAnsi="Arial" w:cs="Arial"/>
        </w:rPr>
        <w:t xml:space="preserve"> no mayor a 90 </w:t>
      </w:r>
      <w:r w:rsidR="00813E47">
        <w:rPr>
          <w:rFonts w:ascii="Arial" w:hAnsi="Arial" w:cs="Arial"/>
        </w:rPr>
        <w:t>dí</w:t>
      </w:r>
      <w:r w:rsidR="007B3DE1">
        <w:rPr>
          <w:rFonts w:ascii="Arial" w:hAnsi="Arial" w:cs="Arial"/>
        </w:rPr>
        <w:t>as. Si la compensación se</w:t>
      </w:r>
      <w:r w:rsidR="007C0911">
        <w:rPr>
          <w:rFonts w:ascii="Arial" w:hAnsi="Arial" w:cs="Arial"/>
        </w:rPr>
        <w:t xml:space="preserve"> produce con </w:t>
      </w:r>
      <w:r w:rsidR="00862631">
        <w:rPr>
          <w:rFonts w:ascii="Arial" w:hAnsi="Arial" w:cs="Arial"/>
        </w:rPr>
        <w:t>anterioridad</w:t>
      </w:r>
      <w:r w:rsidR="007C0911">
        <w:rPr>
          <w:rFonts w:ascii="Arial" w:hAnsi="Arial" w:cs="Arial"/>
        </w:rPr>
        <w:t xml:space="preserve"> al plazo de 20 años, A</w:t>
      </w:r>
      <w:r w:rsidR="007B3DE1">
        <w:rPr>
          <w:rFonts w:ascii="Arial" w:hAnsi="Arial" w:cs="Arial"/>
        </w:rPr>
        <w:t>NTEL</w:t>
      </w:r>
      <w:r w:rsidR="007C0911">
        <w:rPr>
          <w:rFonts w:ascii="Arial" w:hAnsi="Arial" w:cs="Arial"/>
        </w:rPr>
        <w:t xml:space="preserve"> </w:t>
      </w:r>
      <w:r w:rsidR="00862631">
        <w:rPr>
          <w:rFonts w:ascii="Arial" w:hAnsi="Arial" w:cs="Arial"/>
        </w:rPr>
        <w:t>deberá</w:t>
      </w:r>
      <w:r w:rsidR="007C0911">
        <w:rPr>
          <w:rFonts w:ascii="Arial" w:hAnsi="Arial" w:cs="Arial"/>
        </w:rPr>
        <w:t xml:space="preserve"> </w:t>
      </w:r>
      <w:r w:rsidR="00862631">
        <w:rPr>
          <w:rFonts w:ascii="Arial" w:hAnsi="Arial" w:cs="Arial"/>
        </w:rPr>
        <w:t>pagar</w:t>
      </w:r>
      <w:r w:rsidR="007C0911">
        <w:rPr>
          <w:rFonts w:ascii="Arial" w:hAnsi="Arial" w:cs="Arial"/>
        </w:rPr>
        <w:t xml:space="preserve"> la factura de consumo de energía eléctrica</w:t>
      </w:r>
      <w:r w:rsidR="00712C1B">
        <w:rPr>
          <w:rFonts w:ascii="Arial" w:hAnsi="Arial" w:cs="Arial"/>
        </w:rPr>
        <w:t>;</w:t>
      </w:r>
    </w:p>
    <w:p w:rsidR="005A50A8" w:rsidRDefault="00C31426" w:rsidP="005A50A8">
      <w:pPr>
        <w:pStyle w:val="Textoindependiente"/>
        <w:spacing w:line="360" w:lineRule="auto"/>
        <w:ind w:firstLine="2835"/>
        <w:jc w:val="both"/>
        <w:rPr>
          <w:rFonts w:ascii="Arial" w:hAnsi="Arial" w:cs="Arial"/>
        </w:rPr>
      </w:pPr>
      <w:r w:rsidRPr="00B23341">
        <w:rPr>
          <w:rFonts w:ascii="Arial" w:hAnsi="Arial" w:cs="Arial"/>
          <w:b/>
        </w:rPr>
        <w:lastRenderedPageBreak/>
        <w:t>6</w:t>
      </w:r>
      <w:r w:rsidR="00D92462" w:rsidRPr="00B23341">
        <w:rPr>
          <w:rFonts w:ascii="Arial" w:hAnsi="Arial" w:cs="Arial"/>
          <w:b/>
        </w:rPr>
        <w:t>)</w:t>
      </w:r>
      <w:r w:rsidR="00D92462">
        <w:rPr>
          <w:rFonts w:ascii="Arial" w:hAnsi="Arial" w:cs="Arial"/>
        </w:rPr>
        <w:t xml:space="preserve"> que se adjunta </w:t>
      </w:r>
      <w:r w:rsidR="00007521">
        <w:rPr>
          <w:rFonts w:ascii="Arial" w:hAnsi="Arial" w:cs="Arial"/>
        </w:rPr>
        <w:t>Resolución</w:t>
      </w:r>
      <w:r w:rsidR="00D92462">
        <w:rPr>
          <w:rFonts w:ascii="Arial" w:hAnsi="Arial" w:cs="Arial"/>
        </w:rPr>
        <w:t xml:space="preserve"> Nº 13.2158 dictada por el Directorio de UTE el 19/12/13</w:t>
      </w:r>
      <w:r w:rsidR="005A50A8">
        <w:rPr>
          <w:rFonts w:ascii="Arial" w:hAnsi="Arial" w:cs="Arial"/>
        </w:rPr>
        <w:t>,</w:t>
      </w:r>
      <w:r w:rsidR="00D92462">
        <w:rPr>
          <w:rFonts w:ascii="Arial" w:hAnsi="Arial" w:cs="Arial"/>
        </w:rPr>
        <w:t xml:space="preserve"> por la cual </w:t>
      </w:r>
      <w:r w:rsidR="002B7099">
        <w:rPr>
          <w:rFonts w:ascii="Arial" w:hAnsi="Arial" w:cs="Arial"/>
        </w:rPr>
        <w:t>se autoriza la suscripción del Convenio M</w:t>
      </w:r>
      <w:r w:rsidR="00D92462">
        <w:rPr>
          <w:rFonts w:ascii="Arial" w:hAnsi="Arial" w:cs="Arial"/>
        </w:rPr>
        <w:t>arco con ANTEL</w:t>
      </w:r>
      <w:r w:rsidR="002B7099">
        <w:rPr>
          <w:rFonts w:ascii="Arial" w:hAnsi="Arial" w:cs="Arial"/>
        </w:rPr>
        <w:t>,</w:t>
      </w:r>
      <w:r w:rsidR="00D92462">
        <w:rPr>
          <w:rFonts w:ascii="Arial" w:hAnsi="Arial" w:cs="Arial"/>
        </w:rPr>
        <w:t xml:space="preserve"> y </w:t>
      </w:r>
      <w:r w:rsidR="00DE4627">
        <w:rPr>
          <w:rFonts w:ascii="Arial" w:hAnsi="Arial" w:cs="Arial"/>
        </w:rPr>
        <w:t xml:space="preserve">se </w:t>
      </w:r>
      <w:r w:rsidR="00D92462">
        <w:rPr>
          <w:rFonts w:ascii="Arial" w:hAnsi="Arial" w:cs="Arial"/>
        </w:rPr>
        <w:t>ordena la suma de U$S 46.005.224 a pagar en un perí</w:t>
      </w:r>
      <w:r w:rsidR="00813E47">
        <w:rPr>
          <w:rFonts w:ascii="Arial" w:hAnsi="Arial" w:cs="Arial"/>
        </w:rPr>
        <w:t>o</w:t>
      </w:r>
      <w:r w:rsidR="00D92462">
        <w:rPr>
          <w:rFonts w:ascii="Arial" w:hAnsi="Arial" w:cs="Arial"/>
        </w:rPr>
        <w:t>do de 20 años</w:t>
      </w:r>
      <w:r w:rsidR="002B7099">
        <w:rPr>
          <w:rFonts w:ascii="Arial" w:hAnsi="Arial" w:cs="Arial"/>
        </w:rPr>
        <w:t>,</w:t>
      </w:r>
      <w:r w:rsidR="00D92462">
        <w:rPr>
          <w:rFonts w:ascii="Arial" w:hAnsi="Arial" w:cs="Arial"/>
        </w:rPr>
        <w:t xml:space="preserve"> según la cadencia de pagos </w:t>
      </w:r>
      <w:r w:rsidR="00007521">
        <w:rPr>
          <w:rFonts w:ascii="Arial" w:hAnsi="Arial" w:cs="Arial"/>
        </w:rPr>
        <w:t>establecida</w:t>
      </w:r>
      <w:r w:rsidR="002B7099">
        <w:rPr>
          <w:rFonts w:ascii="Arial" w:hAnsi="Arial" w:cs="Arial"/>
        </w:rPr>
        <w:t xml:space="preserve"> en el Convenio M</w:t>
      </w:r>
      <w:r w:rsidR="00D92462">
        <w:rPr>
          <w:rFonts w:ascii="Arial" w:hAnsi="Arial" w:cs="Arial"/>
        </w:rPr>
        <w:t>arco;</w:t>
      </w:r>
    </w:p>
    <w:p w:rsidR="00712C1B" w:rsidRDefault="00C31426" w:rsidP="005A50A8">
      <w:pPr>
        <w:pStyle w:val="Textoindependiente"/>
        <w:spacing w:line="360" w:lineRule="auto"/>
        <w:ind w:firstLine="2835"/>
        <w:jc w:val="both"/>
        <w:rPr>
          <w:rFonts w:ascii="Arial" w:hAnsi="Arial" w:cs="Arial"/>
        </w:rPr>
      </w:pPr>
      <w:r w:rsidRPr="00B23341">
        <w:rPr>
          <w:rFonts w:ascii="Arial" w:hAnsi="Arial" w:cs="Arial"/>
          <w:b/>
        </w:rPr>
        <w:t>7</w:t>
      </w:r>
      <w:r w:rsidR="00813E47" w:rsidRPr="00B23341">
        <w:rPr>
          <w:rFonts w:ascii="Arial" w:hAnsi="Arial" w:cs="Arial"/>
          <w:b/>
        </w:rPr>
        <w:t xml:space="preserve">) </w:t>
      </w:r>
      <w:r w:rsidR="00813E47">
        <w:rPr>
          <w:rFonts w:ascii="Arial" w:hAnsi="Arial" w:cs="Arial"/>
        </w:rPr>
        <w:t>que se adjunta informe elaborado el 10/1/13  por el Jefe del Departamento Registro y Control Presupuestal donde se establece que, teniendo en cuenta las asignaciones aprobadas se</w:t>
      </w:r>
      <w:r w:rsidR="002B7099">
        <w:rPr>
          <w:rFonts w:ascii="Arial" w:hAnsi="Arial" w:cs="Arial"/>
        </w:rPr>
        <w:t>gún D</w:t>
      </w:r>
      <w:r w:rsidR="00813E47">
        <w:rPr>
          <w:rFonts w:ascii="Arial" w:hAnsi="Arial" w:cs="Arial"/>
        </w:rPr>
        <w:t>ecreto 33</w:t>
      </w:r>
      <w:r w:rsidR="005A50A8">
        <w:rPr>
          <w:rFonts w:ascii="Arial" w:hAnsi="Arial" w:cs="Arial"/>
        </w:rPr>
        <w:t>9/13 de fecha 21/10/13 para el P</w:t>
      </w:r>
      <w:r w:rsidR="00813E47">
        <w:rPr>
          <w:rFonts w:ascii="Arial" w:hAnsi="Arial" w:cs="Arial"/>
        </w:rPr>
        <w:t xml:space="preserve">resupuesto 2014, corresponde expresar que el </w:t>
      </w:r>
      <w:r w:rsidR="00B23341">
        <w:rPr>
          <w:rFonts w:ascii="Arial" w:hAnsi="Arial" w:cs="Arial"/>
        </w:rPr>
        <w:t>G</w:t>
      </w:r>
      <w:r w:rsidR="00813E47">
        <w:rPr>
          <w:rFonts w:ascii="Arial" w:hAnsi="Arial" w:cs="Arial"/>
        </w:rPr>
        <w:t>rupo 2 no presenta crédito di</w:t>
      </w:r>
      <w:r w:rsidR="000B2B14">
        <w:rPr>
          <w:rFonts w:ascii="Arial" w:hAnsi="Arial" w:cs="Arial"/>
        </w:rPr>
        <w:t>s</w:t>
      </w:r>
      <w:r w:rsidR="00813E47">
        <w:rPr>
          <w:rFonts w:ascii="Arial" w:hAnsi="Arial" w:cs="Arial"/>
        </w:rPr>
        <w:t>p</w:t>
      </w:r>
      <w:r w:rsidR="000B2B14">
        <w:rPr>
          <w:rFonts w:ascii="Arial" w:hAnsi="Arial" w:cs="Arial"/>
        </w:rPr>
        <w:t>o</w:t>
      </w:r>
      <w:r w:rsidR="00B23341">
        <w:rPr>
          <w:rFonts w:ascii="Arial" w:hAnsi="Arial" w:cs="Arial"/>
        </w:rPr>
        <w:t>nible</w:t>
      </w:r>
      <w:r w:rsidR="00813E47">
        <w:rPr>
          <w:rFonts w:ascii="Arial" w:hAnsi="Arial" w:cs="Arial"/>
        </w:rPr>
        <w:t xml:space="preserve"> par</w:t>
      </w:r>
      <w:r w:rsidR="002B7099">
        <w:rPr>
          <w:rFonts w:ascii="Arial" w:hAnsi="Arial" w:cs="Arial"/>
        </w:rPr>
        <w:t>a imputar el monto de U$S 2:300</w:t>
      </w:r>
      <w:r w:rsidR="00813E47">
        <w:rPr>
          <w:rFonts w:ascii="Arial" w:hAnsi="Arial" w:cs="Arial"/>
        </w:rPr>
        <w:t xml:space="preserve">.261,20 (neto de impuestos) en el </w:t>
      </w:r>
      <w:r w:rsidR="000B2B14">
        <w:rPr>
          <w:rFonts w:ascii="Arial" w:hAnsi="Arial" w:cs="Arial"/>
        </w:rPr>
        <w:t>Ejercicio</w:t>
      </w:r>
      <w:r w:rsidR="00813E47">
        <w:rPr>
          <w:rFonts w:ascii="Arial" w:hAnsi="Arial" w:cs="Arial"/>
        </w:rPr>
        <w:t xml:space="preserve"> 2014</w:t>
      </w:r>
      <w:r w:rsidR="00B23341">
        <w:rPr>
          <w:rFonts w:ascii="Arial" w:hAnsi="Arial" w:cs="Arial"/>
        </w:rPr>
        <w:t>, U$S 43</w:t>
      </w:r>
      <w:r w:rsidR="002B7099">
        <w:rPr>
          <w:rFonts w:ascii="Arial" w:hAnsi="Arial" w:cs="Arial"/>
        </w:rPr>
        <w:t>:</w:t>
      </w:r>
      <w:r w:rsidR="00B23341">
        <w:rPr>
          <w:rFonts w:ascii="Arial" w:hAnsi="Arial" w:cs="Arial"/>
        </w:rPr>
        <w:t xml:space="preserve">704.962,8 (neto de impuestos) para comprometer en el </w:t>
      </w:r>
      <w:r w:rsidR="005A50A8">
        <w:rPr>
          <w:rFonts w:ascii="Arial" w:hAnsi="Arial" w:cs="Arial"/>
        </w:rPr>
        <w:t>E</w:t>
      </w:r>
      <w:r w:rsidR="00B23341">
        <w:rPr>
          <w:rFonts w:ascii="Arial" w:hAnsi="Arial" w:cs="Arial"/>
        </w:rPr>
        <w:t>jercicio 2014</w:t>
      </w:r>
      <w:r w:rsidR="00813E47">
        <w:rPr>
          <w:rFonts w:ascii="Arial" w:hAnsi="Arial" w:cs="Arial"/>
        </w:rPr>
        <w:t xml:space="preserve"> e incorporar en el </w:t>
      </w:r>
      <w:r w:rsidR="000B2B14">
        <w:rPr>
          <w:rFonts w:ascii="Arial" w:hAnsi="Arial" w:cs="Arial"/>
        </w:rPr>
        <w:t>Ejercicio</w:t>
      </w:r>
      <w:r w:rsidR="00813E47">
        <w:rPr>
          <w:rFonts w:ascii="Arial" w:hAnsi="Arial" w:cs="Arial"/>
        </w:rPr>
        <w:t xml:space="preserve"> 2015 y siguientes;</w:t>
      </w:r>
    </w:p>
    <w:p w:rsidR="005A50A8" w:rsidRDefault="007D3CE1" w:rsidP="005A50A8">
      <w:pPr>
        <w:pStyle w:val="Textoindependiente"/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 xml:space="preserve">CONSIDERANDO: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lang w:val="es-MX"/>
        </w:rPr>
        <w:t>que teniendo en cuenta la naturaleza jurídi</w:t>
      </w:r>
      <w:r w:rsidR="002B7099">
        <w:rPr>
          <w:rFonts w:ascii="Arial" w:hAnsi="Arial" w:cs="Arial"/>
          <w:lang w:val="es-MX"/>
        </w:rPr>
        <w:t xml:space="preserve">ca de las partes del Convenio, </w:t>
      </w:r>
      <w:r>
        <w:rPr>
          <w:rFonts w:ascii="Arial" w:hAnsi="Arial" w:cs="Arial"/>
          <w:lang w:val="es-MX"/>
        </w:rPr>
        <w:t>el procedimiento directo seguido para la selección del contratante, encu</w:t>
      </w:r>
      <w:r w:rsidR="002B7099">
        <w:rPr>
          <w:rFonts w:ascii="Arial" w:hAnsi="Arial" w:cs="Arial"/>
          <w:lang w:val="es-MX"/>
        </w:rPr>
        <w:t xml:space="preserve">adra en la causal de excepción </w:t>
      </w:r>
      <w:r>
        <w:rPr>
          <w:rFonts w:ascii="Arial" w:hAnsi="Arial" w:cs="Arial"/>
          <w:lang w:val="es-MX"/>
        </w:rPr>
        <w:t xml:space="preserve">establecida en  el  </w:t>
      </w:r>
      <w:r w:rsidR="005A50A8">
        <w:rPr>
          <w:rFonts w:ascii="Arial" w:hAnsi="Arial" w:cs="Arial"/>
          <w:lang w:val="es-MX"/>
        </w:rPr>
        <w:t>A</w:t>
      </w:r>
      <w:r w:rsidR="00532445">
        <w:rPr>
          <w:rFonts w:ascii="Arial" w:hAnsi="Arial" w:cs="Arial"/>
          <w:lang w:val="es-MX"/>
        </w:rPr>
        <w:t>rtículo</w:t>
      </w:r>
      <w:r w:rsidR="005A50A8">
        <w:rPr>
          <w:rFonts w:ascii="Arial" w:hAnsi="Arial" w:cs="Arial"/>
          <w:lang w:val="es-MX"/>
        </w:rPr>
        <w:t xml:space="preserve"> 33 Literal C), N</w:t>
      </w:r>
      <w:r>
        <w:rPr>
          <w:rFonts w:ascii="Arial" w:hAnsi="Arial" w:cs="Arial"/>
          <w:lang w:val="es-MX"/>
        </w:rPr>
        <w:t>umeral 1 del TOCAF;</w:t>
      </w:r>
    </w:p>
    <w:p w:rsidR="005A50A8" w:rsidRDefault="00532445" w:rsidP="005A50A8">
      <w:pPr>
        <w:pStyle w:val="Textoindependiente"/>
        <w:spacing w:line="360" w:lineRule="auto"/>
        <w:ind w:firstLine="3119"/>
        <w:jc w:val="both"/>
        <w:rPr>
          <w:rFonts w:ascii="Arial" w:hAnsi="Arial" w:cs="Arial"/>
          <w:color w:val="000000"/>
        </w:rPr>
      </w:pPr>
      <w:r w:rsidRPr="00532445">
        <w:rPr>
          <w:rFonts w:ascii="Arial" w:hAnsi="Arial" w:cs="Arial"/>
          <w:b/>
          <w:color w:val="000000"/>
        </w:rPr>
        <w:t>2</w:t>
      </w:r>
      <w:r w:rsidR="00E801D8" w:rsidRPr="00532445">
        <w:rPr>
          <w:rFonts w:ascii="Arial" w:hAnsi="Arial" w:cs="Arial"/>
          <w:b/>
          <w:color w:val="000000"/>
        </w:rPr>
        <w:t>)</w:t>
      </w:r>
      <w:r w:rsidR="00E801D8" w:rsidRPr="00532445">
        <w:rPr>
          <w:rFonts w:ascii="Arial" w:hAnsi="Arial" w:cs="Arial"/>
          <w:color w:val="000000"/>
        </w:rPr>
        <w:t xml:space="preserve"> que según lo establece el </w:t>
      </w:r>
      <w:r w:rsidR="005A50A8">
        <w:rPr>
          <w:rFonts w:ascii="Arial" w:hAnsi="Arial" w:cs="Arial"/>
          <w:color w:val="000000"/>
        </w:rPr>
        <w:t>A</w:t>
      </w:r>
      <w:r w:rsidRPr="00532445">
        <w:rPr>
          <w:rFonts w:ascii="Arial" w:hAnsi="Arial" w:cs="Arial"/>
          <w:color w:val="000000"/>
        </w:rPr>
        <w:t>rtículo</w:t>
      </w:r>
      <w:r w:rsidR="005A50A8">
        <w:rPr>
          <w:rFonts w:ascii="Arial" w:hAnsi="Arial" w:cs="Arial"/>
          <w:color w:val="000000"/>
        </w:rPr>
        <w:t xml:space="preserve"> 4 de la L</w:t>
      </w:r>
      <w:r w:rsidR="002B7099">
        <w:rPr>
          <w:rFonts w:ascii="Arial" w:hAnsi="Arial" w:cs="Arial"/>
          <w:color w:val="000000"/>
        </w:rPr>
        <w:t xml:space="preserve">ey 15.031, </w:t>
      </w:r>
      <w:r w:rsidR="00E801D8" w:rsidRPr="00532445">
        <w:rPr>
          <w:rFonts w:ascii="Arial" w:hAnsi="Arial" w:cs="Arial"/>
          <w:color w:val="000000"/>
        </w:rPr>
        <w:t>UTE</w:t>
      </w:r>
      <w:r w:rsidR="002B7099">
        <w:rPr>
          <w:rFonts w:ascii="Arial" w:hAnsi="Arial" w:cs="Arial"/>
          <w:color w:val="000000"/>
        </w:rPr>
        <w:t xml:space="preserve"> tiene, entre otros cometidos, </w:t>
      </w:r>
      <w:r w:rsidR="00400928">
        <w:rPr>
          <w:rFonts w:ascii="Arial" w:hAnsi="Arial" w:cs="Arial"/>
          <w:color w:val="000000"/>
        </w:rPr>
        <w:t>l</w:t>
      </w:r>
      <w:r w:rsidR="00C31426" w:rsidRPr="00532445">
        <w:rPr>
          <w:rFonts w:ascii="Arial" w:hAnsi="Arial" w:cs="Arial"/>
          <w:color w:val="000000"/>
        </w:rPr>
        <w:t>a generación, transformación, trasmisión, distribución, exportación, importación y comercialización de la energía eléctrica, en cuanto se destinen total o parcialmente a terceros en forma regular y permanente</w:t>
      </w:r>
      <w:r w:rsidR="00E801D8" w:rsidRPr="00532445">
        <w:rPr>
          <w:rFonts w:ascii="Arial" w:hAnsi="Arial" w:cs="Arial"/>
          <w:color w:val="000000"/>
        </w:rPr>
        <w:t xml:space="preserve"> (</w:t>
      </w:r>
      <w:r w:rsidR="002B7099">
        <w:rPr>
          <w:rFonts w:ascii="Arial" w:hAnsi="Arial" w:cs="Arial"/>
          <w:color w:val="000000"/>
        </w:rPr>
        <w:t>L</w:t>
      </w:r>
      <w:r w:rsidR="00E801D8" w:rsidRPr="00532445">
        <w:rPr>
          <w:rFonts w:ascii="Arial" w:hAnsi="Arial" w:cs="Arial"/>
          <w:color w:val="000000"/>
        </w:rPr>
        <w:t xml:space="preserve">iteral </w:t>
      </w:r>
      <w:r w:rsidR="002B7099">
        <w:rPr>
          <w:rFonts w:ascii="Arial" w:hAnsi="Arial" w:cs="Arial"/>
          <w:color w:val="000000"/>
        </w:rPr>
        <w:t>a</w:t>
      </w:r>
      <w:r w:rsidR="00E801D8" w:rsidRPr="00532445">
        <w:rPr>
          <w:rFonts w:ascii="Arial" w:hAnsi="Arial" w:cs="Arial"/>
          <w:color w:val="000000"/>
        </w:rPr>
        <w:t xml:space="preserve">),  </w:t>
      </w:r>
      <w:r w:rsidR="00400928">
        <w:rPr>
          <w:rFonts w:ascii="Arial" w:hAnsi="Arial" w:cs="Arial"/>
          <w:color w:val="000000"/>
        </w:rPr>
        <w:t>l</w:t>
      </w:r>
      <w:r w:rsidR="00E801D8" w:rsidRPr="00532445">
        <w:rPr>
          <w:rFonts w:ascii="Arial" w:hAnsi="Arial" w:cs="Arial"/>
          <w:color w:val="000000"/>
        </w:rPr>
        <w:t>a ejecución por sí o por empresas o personas que contrate, de todas las obras e instalaciones requeridas para la prestación del servicio de energía eléctrica, de acuerdo con las reglamentaci</w:t>
      </w:r>
      <w:r w:rsidR="005A50A8">
        <w:rPr>
          <w:rFonts w:ascii="Arial" w:hAnsi="Arial" w:cs="Arial"/>
          <w:color w:val="000000"/>
        </w:rPr>
        <w:t>ones vigentes o que se dicten (L</w:t>
      </w:r>
      <w:r w:rsidR="00E801D8" w:rsidRPr="00532445">
        <w:rPr>
          <w:rFonts w:ascii="Arial" w:hAnsi="Arial" w:cs="Arial"/>
          <w:color w:val="000000"/>
        </w:rPr>
        <w:t xml:space="preserve">iteral d), la participación en toda elaboración de planes o proyectos que se refieran o tengan incidencia en </w:t>
      </w:r>
      <w:r w:rsidR="005A50A8">
        <w:rPr>
          <w:rFonts w:ascii="Arial" w:hAnsi="Arial" w:cs="Arial"/>
          <w:color w:val="000000"/>
        </w:rPr>
        <w:t>el sistema eléctrico nacional (L</w:t>
      </w:r>
      <w:r w:rsidR="00E801D8" w:rsidRPr="00532445">
        <w:rPr>
          <w:rFonts w:ascii="Arial" w:hAnsi="Arial" w:cs="Arial"/>
          <w:color w:val="000000"/>
        </w:rPr>
        <w:t>iteral f);</w:t>
      </w:r>
    </w:p>
    <w:p w:rsidR="005A50A8" w:rsidRDefault="00532445" w:rsidP="005A50A8">
      <w:pPr>
        <w:pStyle w:val="Textoindependiente"/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3</w:t>
      </w:r>
      <w:r w:rsidR="007D3CE1">
        <w:rPr>
          <w:rFonts w:ascii="Arial" w:hAnsi="Arial" w:cs="Arial"/>
          <w:b/>
          <w:bCs/>
        </w:rPr>
        <w:t xml:space="preserve">) </w:t>
      </w:r>
      <w:r w:rsidR="005A50A8">
        <w:rPr>
          <w:rFonts w:ascii="Arial" w:hAnsi="Arial" w:cs="Arial"/>
        </w:rPr>
        <w:t>que el A</w:t>
      </w:r>
      <w:r w:rsidR="00D43D03" w:rsidRPr="00D43D03">
        <w:rPr>
          <w:rFonts w:ascii="Arial" w:hAnsi="Arial" w:cs="Arial"/>
        </w:rPr>
        <w:t>rtículo 3 de la ley 14.235 de 25/07/974 establece que le “compete a la Administración Nacional de Telecomunicaciones, la realización de actos jurídicos y operaciones técnicas y materiales, la adquisición de derechos y obligaciones, así como la realización por sí o mediante la contratación con terceros, de la prestación de servicios y la realización de estudios técnicos y de obras, conducentes al</w:t>
      </w:r>
      <w:r w:rsidR="00C525B0">
        <w:rPr>
          <w:rFonts w:ascii="Arial" w:hAnsi="Arial" w:cs="Arial"/>
        </w:rPr>
        <w:t xml:space="preserve"> cumplimiento de sus cometidos”.</w:t>
      </w:r>
      <w:r w:rsidR="005A50A8">
        <w:rPr>
          <w:rFonts w:ascii="Arial" w:hAnsi="Arial" w:cs="Arial"/>
        </w:rPr>
        <w:t xml:space="preserve"> Por su parte, el A</w:t>
      </w:r>
      <w:r w:rsidR="00D43D03" w:rsidRPr="00D43D03">
        <w:rPr>
          <w:rFonts w:ascii="Arial" w:hAnsi="Arial" w:cs="Arial"/>
        </w:rPr>
        <w:t>rtículo 4 de la mencionada Ley establece como cometidos de ANTEL el prestar servicios de telecomunicacio</w:t>
      </w:r>
      <w:r w:rsidR="00E50D6F">
        <w:rPr>
          <w:rFonts w:ascii="Arial" w:hAnsi="Arial" w:cs="Arial"/>
        </w:rPr>
        <w:t>nes con el alcance dado por el A</w:t>
      </w:r>
      <w:r w:rsidR="00D43D03" w:rsidRPr="00D43D03">
        <w:rPr>
          <w:rFonts w:ascii="Arial" w:hAnsi="Arial" w:cs="Arial"/>
        </w:rPr>
        <w:t>rt</w:t>
      </w:r>
      <w:r w:rsidR="00E50D6F">
        <w:rPr>
          <w:rFonts w:ascii="Arial" w:hAnsi="Arial" w:cs="Arial"/>
        </w:rPr>
        <w:t>ículo 12 de la Ley 16.211, esto</w:t>
      </w:r>
      <w:r w:rsidR="00D43D03" w:rsidRPr="00D43D03">
        <w:rPr>
          <w:rFonts w:ascii="Arial" w:hAnsi="Arial" w:cs="Arial"/>
        </w:rPr>
        <w:t xml:space="preserve"> es toda transmisión, emisión o recepción de signos, señales, escritos, imágenes, sonidos o informaciones de cualquier naturaleza por hilo, radioelectricidad, medios ópticos u otros sistemas electromagnéticos;</w:t>
      </w:r>
    </w:p>
    <w:p w:rsidR="005A50A8" w:rsidRDefault="00532445" w:rsidP="005A50A8">
      <w:pPr>
        <w:pStyle w:val="Textoindependiente"/>
        <w:spacing w:line="360" w:lineRule="auto"/>
        <w:ind w:firstLine="3119"/>
        <w:jc w:val="both"/>
        <w:rPr>
          <w:rFonts w:ascii="Arial" w:hAnsi="Arial" w:cs="Arial"/>
        </w:rPr>
      </w:pPr>
      <w:r w:rsidRPr="00400928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</w:t>
      </w:r>
      <w:r w:rsidR="00400928">
        <w:rPr>
          <w:rFonts w:ascii="Arial" w:hAnsi="Arial" w:cs="Arial"/>
        </w:rPr>
        <w:t xml:space="preserve"> surge de estas actuaciones que </w:t>
      </w:r>
      <w:r>
        <w:rPr>
          <w:rFonts w:ascii="Arial" w:hAnsi="Arial" w:cs="Arial"/>
        </w:rPr>
        <w:t xml:space="preserve">se ha </w:t>
      </w:r>
      <w:r w:rsidR="00400928">
        <w:rPr>
          <w:rFonts w:ascii="Arial" w:hAnsi="Arial" w:cs="Arial"/>
        </w:rPr>
        <w:t>ordenado</w:t>
      </w:r>
      <w:r w:rsidR="00E50D6F">
        <w:rPr>
          <w:rFonts w:ascii="Arial" w:hAnsi="Arial" w:cs="Arial"/>
        </w:rPr>
        <w:t xml:space="preserve"> el gasto que deriva del C</w:t>
      </w:r>
      <w:r>
        <w:rPr>
          <w:rFonts w:ascii="Arial" w:hAnsi="Arial" w:cs="Arial"/>
        </w:rPr>
        <w:t xml:space="preserve">onvenio sin que exista crédito suficiente para atender el mismo, </w:t>
      </w:r>
      <w:r w:rsidR="005A50A8">
        <w:rPr>
          <w:rFonts w:ascii="Arial" w:hAnsi="Arial" w:cs="Arial"/>
        </w:rPr>
        <w:t>incumpliendo</w:t>
      </w:r>
      <w:r>
        <w:rPr>
          <w:rFonts w:ascii="Arial" w:hAnsi="Arial" w:cs="Arial"/>
        </w:rPr>
        <w:t xml:space="preserve"> lo dispuesto en  el </w:t>
      </w:r>
      <w:r w:rsidR="005A50A8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400928">
        <w:rPr>
          <w:rFonts w:ascii="Arial" w:hAnsi="Arial" w:cs="Arial"/>
        </w:rPr>
        <w:t>í</w:t>
      </w:r>
      <w:r>
        <w:rPr>
          <w:rFonts w:ascii="Arial" w:hAnsi="Arial" w:cs="Arial"/>
        </w:rPr>
        <w:t>culo 15 del TOCAF;</w:t>
      </w:r>
    </w:p>
    <w:p w:rsidR="005A50A8" w:rsidRDefault="00532445" w:rsidP="005A50A8">
      <w:pPr>
        <w:pStyle w:val="Textoindependiente"/>
        <w:spacing w:line="360" w:lineRule="auto"/>
        <w:ind w:firstLine="3119"/>
        <w:jc w:val="both"/>
        <w:rPr>
          <w:rFonts w:ascii="Arial" w:hAnsi="Arial" w:cs="Arial"/>
        </w:rPr>
      </w:pPr>
      <w:r w:rsidRPr="00400928"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>que las presentes actuaciones ha</w:t>
      </w:r>
      <w:r w:rsidR="0040092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sido remitidas a este Tribunal con posterior</w:t>
      </w:r>
      <w:r w:rsidR="00400928">
        <w:rPr>
          <w:rFonts w:ascii="Arial" w:hAnsi="Arial" w:cs="Arial"/>
        </w:rPr>
        <w:t>idad a que se autorizara</w:t>
      </w:r>
      <w:r w:rsidR="00E50D6F">
        <w:rPr>
          <w:rFonts w:ascii="Arial" w:hAnsi="Arial" w:cs="Arial"/>
        </w:rPr>
        <w:t xml:space="preserve"> la firma del C</w:t>
      </w:r>
      <w:r>
        <w:rPr>
          <w:rFonts w:ascii="Arial" w:hAnsi="Arial" w:cs="Arial"/>
        </w:rPr>
        <w:t>onvenio y</w:t>
      </w:r>
      <w:r w:rsidR="00400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que se </w:t>
      </w:r>
      <w:r w:rsidR="00400928">
        <w:rPr>
          <w:rFonts w:ascii="Arial" w:hAnsi="Arial" w:cs="Arial"/>
        </w:rPr>
        <w:t>o</w:t>
      </w:r>
      <w:r>
        <w:rPr>
          <w:rFonts w:ascii="Arial" w:hAnsi="Arial" w:cs="Arial"/>
        </w:rPr>
        <w:t>rdenara el gasto que deriva del mis</w:t>
      </w:r>
      <w:r w:rsidR="00400928">
        <w:rPr>
          <w:rFonts w:ascii="Arial" w:hAnsi="Arial" w:cs="Arial"/>
        </w:rPr>
        <w:t>m</w:t>
      </w:r>
      <w:r>
        <w:rPr>
          <w:rFonts w:ascii="Arial" w:hAnsi="Arial" w:cs="Arial"/>
        </w:rPr>
        <w:t>o, en contra</w:t>
      </w:r>
      <w:r w:rsidR="005A50A8">
        <w:rPr>
          <w:rFonts w:ascii="Arial" w:hAnsi="Arial" w:cs="Arial"/>
        </w:rPr>
        <w:t>vención con lo dispuesto en el Literal B) del A</w:t>
      </w:r>
      <w:r>
        <w:rPr>
          <w:rFonts w:ascii="Arial" w:hAnsi="Arial" w:cs="Arial"/>
        </w:rPr>
        <w:t>rtículo 211 de la Constitución</w:t>
      </w:r>
      <w:r w:rsidR="005A50A8">
        <w:rPr>
          <w:rFonts w:ascii="Arial" w:hAnsi="Arial" w:cs="Arial"/>
        </w:rPr>
        <w:t xml:space="preserve"> de la República</w:t>
      </w:r>
      <w:r>
        <w:rPr>
          <w:rFonts w:ascii="Arial" w:hAnsi="Arial" w:cs="Arial"/>
        </w:rPr>
        <w:t>;</w:t>
      </w:r>
    </w:p>
    <w:p w:rsidR="005A50A8" w:rsidRDefault="007D3CE1" w:rsidP="005A50A8">
      <w:pPr>
        <w:pStyle w:val="Textoindependiente"/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6) </w:t>
      </w:r>
      <w:r>
        <w:rPr>
          <w:rFonts w:ascii="Arial" w:hAnsi="Arial" w:cs="Arial"/>
        </w:rPr>
        <w:t xml:space="preserve">que conforme </w:t>
      </w:r>
      <w:r w:rsidR="005A50A8">
        <w:rPr>
          <w:rFonts w:ascii="Arial" w:hAnsi="Arial" w:cs="Arial"/>
        </w:rPr>
        <w:t>con el A</w:t>
      </w:r>
      <w:r>
        <w:rPr>
          <w:rFonts w:ascii="Arial" w:hAnsi="Arial" w:cs="Arial"/>
        </w:rPr>
        <w:t>rtículo 25 del TOCAF, se podrán establecer sistemas de compensación entre deudas y créditos</w:t>
      </w:r>
      <w:r w:rsidR="00E50D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únicamente en la etapa de pagos, previa verificación del cumplimiento de las etapas anteriores, y en ningún caso podrá compensarse suma alguna que deba abonarse</w:t>
      </w:r>
      <w:r w:rsidR="00E50D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 la misma no proviene de gastos o inversiones realizados de conformidad con las asignaciones presupuestales y contando con crédito disponible;</w:t>
      </w:r>
    </w:p>
    <w:p w:rsidR="007D3CE1" w:rsidRDefault="007D3CE1" w:rsidP="005A50A8">
      <w:pPr>
        <w:pStyle w:val="Textoindependiente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 xml:space="preserve">a lo precedentemente expuesto; </w:t>
      </w:r>
    </w:p>
    <w:p w:rsidR="007D3CE1" w:rsidRDefault="007D3CE1" w:rsidP="007D3CE1">
      <w:pPr>
        <w:pStyle w:val="Ttulo3"/>
        <w:spacing w:line="360" w:lineRule="auto"/>
        <w:jc w:val="center"/>
        <w:rPr>
          <w:sz w:val="24"/>
        </w:rPr>
      </w:pPr>
      <w:r>
        <w:rPr>
          <w:sz w:val="24"/>
        </w:rPr>
        <w:lastRenderedPageBreak/>
        <w:t>EL TRIBUNAL ACUERDA</w:t>
      </w:r>
    </w:p>
    <w:p w:rsidR="007D3CE1" w:rsidRDefault="007D3CE1" w:rsidP="007D3CE1">
      <w:pPr>
        <w:pStyle w:val="Lista2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Observar el </w:t>
      </w:r>
      <w:r w:rsidR="005A50A8">
        <w:rPr>
          <w:rFonts w:ascii="Arial" w:hAnsi="Arial" w:cs="Arial"/>
        </w:rPr>
        <w:t>Convenio a celebrar</w:t>
      </w:r>
      <w:r>
        <w:rPr>
          <w:rFonts w:ascii="Arial" w:hAnsi="Arial" w:cs="Arial"/>
        </w:rPr>
        <w:t xml:space="preserve"> </w:t>
      </w:r>
      <w:r w:rsidR="001C09DF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="00400928">
        <w:rPr>
          <w:rFonts w:ascii="Arial" w:hAnsi="Arial" w:cs="Arial"/>
        </w:rPr>
        <w:t xml:space="preserve">UTE </w:t>
      </w:r>
      <w:r>
        <w:rPr>
          <w:rFonts w:ascii="Arial" w:hAnsi="Arial" w:cs="Arial"/>
        </w:rPr>
        <w:t xml:space="preserve"> y </w:t>
      </w:r>
      <w:r w:rsidR="00400928">
        <w:rPr>
          <w:rFonts w:ascii="Arial" w:hAnsi="Arial" w:cs="Arial"/>
        </w:rPr>
        <w:t>ANTEL</w:t>
      </w:r>
      <w:r>
        <w:rPr>
          <w:rFonts w:ascii="Arial" w:hAnsi="Arial" w:cs="Arial"/>
        </w:rPr>
        <w:t xml:space="preserve">, por lo expresado en los Considerandos </w:t>
      </w:r>
      <w:r w:rsidR="00400928">
        <w:rPr>
          <w:rFonts w:ascii="Arial" w:hAnsi="Arial" w:cs="Arial"/>
        </w:rPr>
        <w:t xml:space="preserve">4), 5) </w:t>
      </w:r>
      <w:r w:rsidR="001C09DF">
        <w:rPr>
          <w:rFonts w:ascii="Arial" w:hAnsi="Arial" w:cs="Arial"/>
        </w:rPr>
        <w:t>y</w:t>
      </w:r>
      <w:r w:rsidR="00400928">
        <w:rPr>
          <w:rFonts w:ascii="Arial" w:hAnsi="Arial" w:cs="Arial"/>
        </w:rPr>
        <w:t xml:space="preserve"> 6)</w:t>
      </w:r>
      <w:r>
        <w:rPr>
          <w:rFonts w:ascii="Arial" w:hAnsi="Arial" w:cs="Arial"/>
          <w:lang w:val="es-MX"/>
        </w:rPr>
        <w:t>;</w:t>
      </w:r>
    </w:p>
    <w:p w:rsidR="007D3CE1" w:rsidRDefault="007D3CE1" w:rsidP="007D3CE1">
      <w:pPr>
        <w:pStyle w:val="Lista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Comunicar al</w:t>
      </w:r>
      <w:r w:rsidR="005A50A8">
        <w:rPr>
          <w:rFonts w:ascii="Arial" w:hAnsi="Arial" w:cs="Arial"/>
          <w:lang w:val="es-UY"/>
        </w:rPr>
        <w:t xml:space="preserve"> Contador D</w:t>
      </w:r>
      <w:r w:rsidR="00291B36">
        <w:rPr>
          <w:rFonts w:ascii="Arial" w:hAnsi="Arial" w:cs="Arial"/>
          <w:lang w:val="es-UY"/>
        </w:rPr>
        <w:t>elegado;</w:t>
      </w:r>
    </w:p>
    <w:p w:rsidR="00D92462" w:rsidRDefault="005A50A8" w:rsidP="005A50A8">
      <w:pPr>
        <w:pStyle w:val="Lista2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</w:rPr>
        <w:t>Devolver las actuaciones.</w:t>
      </w:r>
      <w:r>
        <w:t xml:space="preserve"> </w:t>
      </w:r>
    </w:p>
    <w:p w:rsidR="00B23E39" w:rsidRDefault="00B23E39" w:rsidP="00B23E39">
      <w:pPr>
        <w:pStyle w:val="Lista2"/>
        <w:spacing w:line="360" w:lineRule="auto"/>
        <w:jc w:val="both"/>
      </w:pPr>
    </w:p>
    <w:p w:rsidR="00B23E39" w:rsidRDefault="00B23E39" w:rsidP="00B23E39">
      <w:pPr>
        <w:pStyle w:val="Lista2"/>
        <w:spacing w:line="360" w:lineRule="auto"/>
        <w:jc w:val="both"/>
      </w:pPr>
    </w:p>
    <w:p w:rsidR="00B23E39" w:rsidRDefault="00B23E39" w:rsidP="00B23E39">
      <w:pPr>
        <w:pStyle w:val="Lista2"/>
        <w:spacing w:line="360" w:lineRule="auto"/>
        <w:jc w:val="both"/>
      </w:pPr>
    </w:p>
    <w:p w:rsidR="00B23E39" w:rsidRPr="00B23E39" w:rsidRDefault="00B23E39" w:rsidP="00B23E39">
      <w:pPr>
        <w:pStyle w:val="Lista2"/>
        <w:spacing w:line="360" w:lineRule="auto"/>
        <w:ind w:hanging="1133"/>
        <w:jc w:val="both"/>
        <w:rPr>
          <w:rFonts w:ascii="Arial" w:hAnsi="Arial" w:cs="Arial"/>
        </w:rPr>
      </w:pPr>
      <w:r>
        <w:rPr>
          <w:rFonts w:ascii="Arial" w:hAnsi="Arial" w:cs="Arial"/>
        </w:rPr>
        <w:t>dc</w:t>
      </w:r>
      <w:bookmarkStart w:id="0" w:name="_GoBack"/>
      <w:bookmarkEnd w:id="0"/>
    </w:p>
    <w:sectPr w:rsidR="00B23E39" w:rsidRPr="00B23E39" w:rsidSect="005A50A8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84AA1854"/>
    <w:lvl w:ilvl="0" w:tplc="96A83C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E1"/>
    <w:rsid w:val="00007521"/>
    <w:rsid w:val="000B2B14"/>
    <w:rsid w:val="000D1DD1"/>
    <w:rsid w:val="001C09DF"/>
    <w:rsid w:val="00291B36"/>
    <w:rsid w:val="002B7099"/>
    <w:rsid w:val="00343409"/>
    <w:rsid w:val="003F5A0B"/>
    <w:rsid w:val="00400928"/>
    <w:rsid w:val="00472CCA"/>
    <w:rsid w:val="00532445"/>
    <w:rsid w:val="005A50A8"/>
    <w:rsid w:val="00712C1B"/>
    <w:rsid w:val="007456FE"/>
    <w:rsid w:val="007B3DE1"/>
    <w:rsid w:val="007C0911"/>
    <w:rsid w:val="007D3CE1"/>
    <w:rsid w:val="00813E47"/>
    <w:rsid w:val="00862631"/>
    <w:rsid w:val="00983906"/>
    <w:rsid w:val="00995F7C"/>
    <w:rsid w:val="009C4508"/>
    <w:rsid w:val="00AF2C71"/>
    <w:rsid w:val="00B23341"/>
    <w:rsid w:val="00B23E39"/>
    <w:rsid w:val="00C31426"/>
    <w:rsid w:val="00C525B0"/>
    <w:rsid w:val="00CC0E7E"/>
    <w:rsid w:val="00D37CCA"/>
    <w:rsid w:val="00D43D03"/>
    <w:rsid w:val="00D92462"/>
    <w:rsid w:val="00DE4627"/>
    <w:rsid w:val="00E50D6F"/>
    <w:rsid w:val="00E801D8"/>
    <w:rsid w:val="00E8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7D3C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D3C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D3C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D3CE1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7D3CE1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7D3CE1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Lista2">
    <w:name w:val="List 2"/>
    <w:basedOn w:val="Normal"/>
    <w:semiHidden/>
    <w:rsid w:val="007D3CE1"/>
    <w:pPr>
      <w:ind w:left="566" w:hanging="283"/>
    </w:pPr>
  </w:style>
  <w:style w:type="paragraph" w:styleId="Textoindependiente">
    <w:name w:val="Body Text"/>
    <w:basedOn w:val="Normal"/>
    <w:link w:val="TextoindependienteCar"/>
    <w:semiHidden/>
    <w:rsid w:val="007D3C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D3CE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7D3C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D3C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D3C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D3CE1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7D3CE1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7D3CE1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Lista2">
    <w:name w:val="List 2"/>
    <w:basedOn w:val="Normal"/>
    <w:semiHidden/>
    <w:rsid w:val="007D3CE1"/>
    <w:pPr>
      <w:ind w:left="566" w:hanging="283"/>
    </w:pPr>
  </w:style>
  <w:style w:type="paragraph" w:styleId="Textoindependiente">
    <w:name w:val="Body Text"/>
    <w:basedOn w:val="Normal"/>
    <w:link w:val="TextoindependienteCar"/>
    <w:semiHidden/>
    <w:rsid w:val="007D3C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D3CE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1118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ZAK GODOY</dc:creator>
  <cp:keywords/>
  <dc:description/>
  <cp:lastModifiedBy>27391107</cp:lastModifiedBy>
  <cp:revision>10</cp:revision>
  <cp:lastPrinted>2014-02-26T11:58:00Z</cp:lastPrinted>
  <dcterms:created xsi:type="dcterms:W3CDTF">2014-02-25T14:40:00Z</dcterms:created>
  <dcterms:modified xsi:type="dcterms:W3CDTF">2014-02-26T11:58:00Z</dcterms:modified>
</cp:coreProperties>
</file>