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A2" w:rsidRPr="008B63A2" w:rsidRDefault="008B63A2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8B63A2">
        <w:rPr>
          <w:rFonts w:ascii="Helvetica" w:hAnsi="Helvetica"/>
          <w:b/>
          <w:sz w:val="24"/>
          <w:szCs w:val="24"/>
        </w:rPr>
        <w:t>RESOLUCION ADOPTADA POR EL</w:t>
      </w:r>
    </w:p>
    <w:p w:rsidR="008B63A2" w:rsidRPr="008B63A2" w:rsidRDefault="008B63A2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8B63A2">
        <w:rPr>
          <w:rFonts w:ascii="Helvetica" w:hAnsi="Helvetica"/>
          <w:b/>
          <w:sz w:val="24"/>
          <w:szCs w:val="24"/>
        </w:rPr>
        <w:t>TRIBUNAL DE CUENTAS</w:t>
      </w:r>
    </w:p>
    <w:p w:rsidR="008B63A2" w:rsidRPr="008B63A2" w:rsidRDefault="008B63A2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8B63A2">
        <w:rPr>
          <w:rFonts w:ascii="Helvetica" w:hAnsi="Helvetica"/>
          <w:b/>
          <w:sz w:val="24"/>
          <w:szCs w:val="24"/>
        </w:rPr>
        <w:t>EN SESION DE FECHA  DE 12 DE FEBRERO DE 2014</w:t>
      </w:r>
    </w:p>
    <w:p w:rsidR="008B63A2" w:rsidRPr="008B63A2" w:rsidRDefault="008B63A2" w:rsidP="008B63A2">
      <w:pPr>
        <w:tabs>
          <w:tab w:val="center" w:pos="4253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8B63A2">
        <w:rPr>
          <w:rFonts w:ascii="Helvetica" w:hAnsi="Helvetica"/>
          <w:b/>
          <w:sz w:val="24"/>
          <w:szCs w:val="24"/>
        </w:rPr>
        <w:t xml:space="preserve">(E. E. Nº </w:t>
      </w:r>
      <w:r w:rsidRPr="008B63A2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2013-17-1-0000690 </w:t>
      </w:r>
      <w:r w:rsidRPr="008B63A2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E. N° </w:t>
      </w:r>
      <w:r w:rsidRPr="008B63A2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323/14) </w:t>
      </w:r>
    </w:p>
    <w:p w:rsidR="008B63A2" w:rsidRPr="008B63A2" w:rsidRDefault="008B63A2" w:rsidP="008B63A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VISTO: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las actuaciones remitidas por la Administración de las Obras Sanitarias del Estado, relacionadas con la autorización de un crédito de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$ 48:158.000 más IVA, a los efectos de atender los gastos por concepto de comisión de cobranza de facturas, efectuada por Agentes Externos Públicos y Privados habilitados; </w:t>
      </w:r>
    </w:p>
    <w:p w:rsidR="008B63A2" w:rsidRPr="008B63A2" w:rsidRDefault="008B63A2" w:rsidP="008B63A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RESULTANDO: 1)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que  este  Tribunal,  en  sesiones  de  fechas  2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de marzo de 200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6, 28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marzo de 20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07, 30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abril de 20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08 y 26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febrero de 20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09, intervino preventivamente los gastos de $ 30:836.500,  $ 32:940.500, 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$ 26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: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728.500, y  $ 27:924.500, correspondientes a los Ejercicios 2006, 2007, 2008 y 2009 respectivamente;</w:t>
      </w:r>
    </w:p>
    <w:p w:rsidR="008B63A2" w:rsidRPr="008B63A2" w:rsidRDefault="008B63A2" w:rsidP="008B63A2">
      <w:pPr>
        <w:tabs>
          <w:tab w:val="left" w:pos="1843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ab/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2)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que con fechas 7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abril de 20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10 y 5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mayo              de 20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11,  este Tribunal observó los gastos de $ 33:119.970 y $ 47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: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396.000, correspondientes a los ejercicios 2010 y 2011 respectivamente, en ambos casos por falta de disponibilidad de crédito presupuestal, para atender las referidas erogaciones;</w:t>
      </w:r>
    </w:p>
    <w:p w:rsidR="008B63A2" w:rsidRPr="008B63A2" w:rsidRDefault="008B63A2" w:rsidP="008B63A2">
      <w:pPr>
        <w:tabs>
          <w:tab w:val="left" w:pos="1843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3)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este Tribunal en sesiones de fechas 8 de febrero de 2012 y 14 de febrero de 2013, intervino preventivamente los gastos de $ 50:780.000 y $ 5:318.000, ambos más IVA, los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E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jercicios 2012 y 2013 respectivamente; </w:t>
      </w:r>
    </w:p>
    <w:p w:rsidR="008B63A2" w:rsidRPr="008B63A2" w:rsidRDefault="008B63A2" w:rsidP="008B63A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        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4)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que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,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en la oportunidad, se remiten actuaciones en las que se encuentra el listado detallado de los agentes recaudadores, a los cuales se les va a abonar la suma de $ 48:158.000, más IVA; </w:t>
      </w:r>
    </w:p>
    <w:p w:rsidR="008B63A2" w:rsidRPr="008B63A2" w:rsidRDefault="008B63A2" w:rsidP="008B63A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      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  </w:t>
      </w:r>
      <w:r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5)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por Resolución N° 1553/13, de fecha 4 de diciembre de 2013, el Directorio autorizó el crédito de $ 48:158.000 más IVA,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lastRenderedPageBreak/>
        <w:t xml:space="preserve">destinado al pago de las comisiones generadas por la cobranza de las facturas del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O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rganismo, que realizan los Agentes Externos Públicos y Privados en Montevideo e Interior, durante el Ejercicio 2014;</w:t>
      </w:r>
    </w:p>
    <w:p w:rsidR="008B63A2" w:rsidRPr="008B63A2" w:rsidRDefault="008B63A2" w:rsidP="008B63A2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6)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por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I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nforme de fecha 17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enero de 20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13 se indica que el gasto se imputa con cargo al Programa 1600, Objeto 269, del Presupuesto Operativo 2014, el que cuenta con disponibilidad suficiente en el Grupo 2 “Servicios no personales”;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</w:t>
      </w:r>
    </w:p>
    <w:p w:rsidR="008B63A2" w:rsidRPr="008B63A2" w:rsidRDefault="008B63A2" w:rsidP="008B63A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CONSIDERANDO: 1)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que por Resolución de Directorio Nº 572/93, de 14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abril de 19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93, el Directorio de OSE aprobó los proyectos de contratos de prestación de servicio de cobranza externa de facturas para el Departamento de Montevideo, disponiendo la realización de un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L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lamado público a esos efectos, previniendo que con posterioridad al mismo, todas aquellas empresas que cumplan con las condiciones establecidas podrán adherirse al sistema;</w:t>
      </w:r>
    </w:p>
    <w:p w:rsidR="008B63A2" w:rsidRPr="008B63A2" w:rsidRDefault="008B63A2" w:rsidP="008B63A2">
      <w:pPr>
        <w:tabs>
          <w:tab w:val="left" w:pos="2127"/>
        </w:tabs>
        <w:spacing w:after="0" w:line="36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ab/>
      </w:r>
      <w:r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          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2)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que por Resolución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Nº 2094/93, de 10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noviembre de 19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93, el Directorio de OSE incorporó el sistema de cobranza externa de facturas a agentes privados en el interior del país;</w:t>
      </w:r>
    </w:p>
    <w:p w:rsidR="008B63A2" w:rsidRPr="008B63A2" w:rsidRDefault="008B63A2" w:rsidP="008B63A2">
      <w:pPr>
        <w:tabs>
          <w:tab w:val="left" w:pos="2127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ab/>
      </w:r>
      <w:r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              </w:t>
      </w: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3)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que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,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en esta instancia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,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OSE da cuenta que existe disponibilidad presupuestal para atender la erogación resultante del cobro de comisión por concepto de cobranza de facturas, por los Agentes Externos Públicos y Privados en Montevideo e Interior, por lo que no resulta observable la erogación resultante de la aplicación del sistema referido;</w:t>
      </w:r>
    </w:p>
    <w:p w:rsidR="008B63A2" w:rsidRPr="008B63A2" w:rsidRDefault="008B63A2" w:rsidP="008B63A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ATENTO</w:t>
      </w:r>
      <w:r w:rsidR="009234D5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: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a lo precedentemente expuesto y a lo dispuesto por el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Artículo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211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Literal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B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) de la Constitución;</w:t>
      </w:r>
    </w:p>
    <w:p w:rsidR="008B63A2" w:rsidRPr="008B63A2" w:rsidRDefault="008B63A2" w:rsidP="008B63A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ACUERDA:</w:t>
      </w:r>
    </w:p>
    <w:p w:rsidR="008B63A2" w:rsidRPr="008B63A2" w:rsidRDefault="008B63A2" w:rsidP="008B63A2">
      <w:pPr>
        <w:numPr>
          <w:ilvl w:val="0"/>
          <w:numId w:val="1"/>
        </w:numPr>
        <w:tabs>
          <w:tab w:val="clear" w:pos="106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Intervenir el monto de hasta $ 48:158.000 más IVA;</w:t>
      </w:r>
    </w:p>
    <w:p w:rsidR="008B63A2" w:rsidRPr="008B63A2" w:rsidRDefault="008B63A2" w:rsidP="008B63A2">
      <w:pPr>
        <w:numPr>
          <w:ilvl w:val="0"/>
          <w:numId w:val="1"/>
        </w:numPr>
        <w:tabs>
          <w:tab w:val="clear" w:pos="106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Previo al pago </w:t>
      </w:r>
      <w:r w:rsidR="009234D5">
        <w:rPr>
          <w:rFonts w:ascii="Arial" w:eastAsia="Times New Roman" w:hAnsi="Arial" w:cs="Arial"/>
          <w:sz w:val="24"/>
          <w:szCs w:val="20"/>
          <w:lang w:val="es-MX" w:eastAsia="es-ES"/>
        </w:rPr>
        <w:t>la Contadora Delegada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deberá verificar la correspondencia de los montos asignados en cada caso;</w:t>
      </w:r>
    </w:p>
    <w:p w:rsidR="008B63A2" w:rsidRPr="008B63A2" w:rsidRDefault="008B63A2" w:rsidP="008B63A2">
      <w:pPr>
        <w:numPr>
          <w:ilvl w:val="0"/>
          <w:numId w:val="1"/>
        </w:numPr>
        <w:tabs>
          <w:tab w:val="clear" w:pos="106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Comunicar a</w:t>
      </w:r>
      <w:r w:rsidR="009234D5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l</w:t>
      </w:r>
      <w:r w:rsidR="009234D5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ontador</w:t>
      </w:r>
      <w:r w:rsidR="009234D5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Delegad</w:t>
      </w:r>
      <w:r w:rsidR="009234D5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 w:rsidRPr="008B63A2"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1E66F7" w:rsidRPr="009234D5" w:rsidRDefault="008B63A2" w:rsidP="009234D5">
      <w:pPr>
        <w:numPr>
          <w:ilvl w:val="0"/>
          <w:numId w:val="1"/>
        </w:numPr>
        <w:tabs>
          <w:tab w:val="clear" w:pos="1068"/>
        </w:tabs>
        <w:spacing w:after="0" w:line="360" w:lineRule="auto"/>
        <w:ind w:left="284" w:hanging="284"/>
        <w:jc w:val="both"/>
        <w:rPr>
          <w:lang w:val="es-MX"/>
        </w:rPr>
      </w:pPr>
      <w:r w:rsidRPr="009234D5">
        <w:rPr>
          <w:rFonts w:ascii="Arial" w:eastAsia="Times New Roman" w:hAnsi="Arial" w:cs="Arial"/>
          <w:sz w:val="24"/>
          <w:szCs w:val="20"/>
          <w:lang w:val="es-MX" w:eastAsia="es-ES"/>
        </w:rPr>
        <w:t>Devolver los antecedentes.</w:t>
      </w:r>
      <w:bookmarkStart w:id="0" w:name="_GoBack"/>
      <w:bookmarkEnd w:id="0"/>
    </w:p>
    <w:sectPr w:rsidR="001E66F7" w:rsidRPr="009234D5" w:rsidSect="009234D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52358"/>
    <w:multiLevelType w:val="hybridMultilevel"/>
    <w:tmpl w:val="DDA82A76"/>
    <w:lvl w:ilvl="0" w:tplc="6600856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A2"/>
    <w:rsid w:val="001E66F7"/>
    <w:rsid w:val="008B63A2"/>
    <w:rsid w:val="009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3021</Characters>
  <Application>Microsoft Office Word</Application>
  <DocSecurity>0</DocSecurity>
  <Lines>25</Lines>
  <Paragraphs>7</Paragraphs>
  <ScaleCrop>false</ScaleCrop>
  <Company>Lenovo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2014-02-14T14:09:00Z</cp:lastPrinted>
  <dcterms:created xsi:type="dcterms:W3CDTF">2014-02-14T13:55:00Z</dcterms:created>
  <dcterms:modified xsi:type="dcterms:W3CDTF">2014-02-14T14:09:00Z</dcterms:modified>
</cp:coreProperties>
</file>