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B4" w:rsidRPr="007C25B4" w:rsidRDefault="007C25B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7C25B4">
        <w:rPr>
          <w:rFonts w:ascii="Arial" w:hAnsi="Arial" w:cs="Arial"/>
          <w:lang w:val="es-ES_tradnl"/>
        </w:rPr>
        <w:t>RESOLUCION ADOPTADA POR EL</w:t>
      </w:r>
    </w:p>
    <w:p w:rsidR="007C25B4" w:rsidRPr="007C25B4" w:rsidRDefault="007C25B4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7C25B4" w:rsidRPr="007C25B4" w:rsidRDefault="007C25B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7C25B4">
        <w:rPr>
          <w:rFonts w:ascii="Arial" w:hAnsi="Arial" w:cs="Arial"/>
          <w:lang w:val="es-ES_tradnl"/>
        </w:rPr>
        <w:t>TRIBUNAL DE CUENTAS</w:t>
      </w:r>
    </w:p>
    <w:p w:rsidR="007C25B4" w:rsidRPr="007C25B4" w:rsidRDefault="007C25B4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7C25B4" w:rsidRPr="007C25B4" w:rsidRDefault="007C25B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7C25B4">
        <w:rPr>
          <w:rFonts w:ascii="Arial" w:hAnsi="Arial" w:cs="Arial"/>
          <w:lang w:val="es-ES_tradnl"/>
        </w:rPr>
        <w:t>EN SESION DE FECHA  DE 12 DE FEBRERO DE 2014</w:t>
      </w:r>
    </w:p>
    <w:p w:rsidR="007C25B4" w:rsidRPr="007C25B4" w:rsidRDefault="007C25B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7C25B4" w:rsidRPr="00A47271" w:rsidRDefault="007C25B4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A47271">
        <w:rPr>
          <w:rFonts w:ascii="Arial" w:hAnsi="Arial" w:cs="Arial"/>
          <w:lang w:val="es-UY"/>
        </w:rPr>
        <w:t xml:space="preserve">(E. E. Nº 2014-17-1-0000560, </w:t>
      </w:r>
      <w:proofErr w:type="spellStart"/>
      <w:r w:rsidRPr="00A47271">
        <w:rPr>
          <w:rFonts w:ascii="Arial" w:hAnsi="Arial" w:cs="Arial"/>
          <w:lang w:val="es-UY"/>
        </w:rPr>
        <w:t>Ent</w:t>
      </w:r>
      <w:proofErr w:type="spellEnd"/>
      <w:r w:rsidRPr="00A47271">
        <w:rPr>
          <w:rFonts w:ascii="Arial" w:hAnsi="Arial" w:cs="Arial"/>
          <w:lang w:val="es-UY"/>
        </w:rPr>
        <w:t>. N° 388/14.)</w:t>
      </w:r>
    </w:p>
    <w:p w:rsidR="007C25B4" w:rsidRPr="00A47271" w:rsidRDefault="007C25B4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DF4830" w:rsidRDefault="00DF4830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VISTO: </w:t>
      </w:r>
      <w:r>
        <w:rPr>
          <w:b w:val="0"/>
          <w:bCs/>
          <w:u w:val="none"/>
        </w:rPr>
        <w:t>las actuaciones remitidas por la Presidencia de la República Agencia de Gobierno Electrónico y Soc</w:t>
      </w:r>
      <w:r w:rsidR="0078453D">
        <w:rPr>
          <w:b w:val="0"/>
          <w:bCs/>
          <w:u w:val="none"/>
        </w:rPr>
        <w:t>iedad de la Información (AGESIC</w:t>
      </w:r>
      <w:r>
        <w:rPr>
          <w:b w:val="0"/>
          <w:bCs/>
          <w:u w:val="none"/>
        </w:rPr>
        <w:t>) r</w:t>
      </w:r>
      <w:r w:rsidR="0078453D">
        <w:rPr>
          <w:b w:val="0"/>
          <w:bCs/>
          <w:u w:val="none"/>
        </w:rPr>
        <w:t>elacionadas con</w:t>
      </w:r>
      <w:r w:rsidR="00A47271">
        <w:rPr>
          <w:b w:val="0"/>
          <w:bCs/>
          <w:u w:val="none"/>
        </w:rPr>
        <w:t xml:space="preserve"> el procedimiento de Licitación Pública N° 05/13 para</w:t>
      </w:r>
      <w:r w:rsidR="0078453D">
        <w:rPr>
          <w:b w:val="0"/>
          <w:bCs/>
          <w:u w:val="none"/>
        </w:rPr>
        <w:t xml:space="preserve"> la adquisición d</w:t>
      </w:r>
      <w:r>
        <w:rPr>
          <w:b w:val="0"/>
          <w:bCs/>
          <w:u w:val="none"/>
        </w:rPr>
        <w:t>e servicios informáticos para el desarrollo e implantación de un sistema de Historia Clínica Electrónica Especializada;</w:t>
      </w:r>
    </w:p>
    <w:p w:rsidR="00DF4830" w:rsidRDefault="00DF4830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>que</w:t>
      </w:r>
      <w:r w:rsidR="0078453D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cumplidos los trámites de estilo (publicaciones e invitaciones), al Acto de Apertura realizado con fecha 16 de diciembre de 2013 se presentaron las firmas Arnaldo C. Castro SA, BULL Uruguay SA, CILAN SRL, </w:t>
      </w:r>
      <w:proofErr w:type="spellStart"/>
      <w:r>
        <w:rPr>
          <w:b w:val="0"/>
          <w:bCs/>
          <w:u w:val="none"/>
        </w:rPr>
        <w:t>Genexus</w:t>
      </w:r>
      <w:proofErr w:type="spellEnd"/>
      <w:r>
        <w:rPr>
          <w:b w:val="0"/>
          <w:bCs/>
          <w:u w:val="none"/>
        </w:rPr>
        <w:t xml:space="preserve"> </w:t>
      </w:r>
      <w:proofErr w:type="spellStart"/>
      <w:r>
        <w:rPr>
          <w:b w:val="0"/>
          <w:bCs/>
          <w:u w:val="none"/>
        </w:rPr>
        <w:t>Consulting</w:t>
      </w:r>
      <w:proofErr w:type="spellEnd"/>
      <w:r>
        <w:rPr>
          <w:b w:val="0"/>
          <w:bCs/>
          <w:u w:val="none"/>
        </w:rPr>
        <w:t xml:space="preserve"> SA, </w:t>
      </w:r>
      <w:proofErr w:type="spellStart"/>
      <w:r>
        <w:rPr>
          <w:b w:val="0"/>
          <w:bCs/>
          <w:u w:val="none"/>
        </w:rPr>
        <w:t>Geocom</w:t>
      </w:r>
      <w:proofErr w:type="spellEnd"/>
      <w:r>
        <w:rPr>
          <w:b w:val="0"/>
          <w:bCs/>
          <w:u w:val="none"/>
        </w:rPr>
        <w:t xml:space="preserve"> Uruguay SA, IBM del Uruguay SA, Soluciones y Servicios Indra</w:t>
      </w:r>
      <w:r w:rsidR="0078453D">
        <w:rPr>
          <w:b w:val="0"/>
          <w:bCs/>
          <w:u w:val="none"/>
        </w:rPr>
        <w:t xml:space="preserve"> </w:t>
      </w:r>
      <w:proofErr w:type="spellStart"/>
      <w:r>
        <w:rPr>
          <w:b w:val="0"/>
          <w:bCs/>
          <w:u w:val="none"/>
        </w:rPr>
        <w:t>Company</w:t>
      </w:r>
      <w:proofErr w:type="spellEnd"/>
      <w:r>
        <w:rPr>
          <w:b w:val="0"/>
          <w:bCs/>
          <w:u w:val="none"/>
        </w:rPr>
        <w:t xml:space="preserve"> Uruguay SA y Myriam Graciela Vázquez </w:t>
      </w:r>
      <w:proofErr w:type="spellStart"/>
      <w:r>
        <w:rPr>
          <w:b w:val="0"/>
          <w:bCs/>
          <w:u w:val="none"/>
        </w:rPr>
        <w:t>Inzua</w:t>
      </w:r>
      <w:proofErr w:type="spellEnd"/>
      <w:r>
        <w:rPr>
          <w:b w:val="0"/>
          <w:bCs/>
          <w:u w:val="none"/>
        </w:rPr>
        <w:t xml:space="preserve"> (KW FOUNDATION);</w:t>
      </w:r>
    </w:p>
    <w:p w:rsidR="00DF4830" w:rsidRDefault="00DF4830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 xml:space="preserve">      </w:t>
      </w:r>
      <w:r>
        <w:rPr>
          <w:u w:val="none"/>
        </w:rPr>
        <w:t>2)</w:t>
      </w:r>
      <w:r>
        <w:rPr>
          <w:b w:val="0"/>
          <w:bCs/>
          <w:u w:val="none"/>
        </w:rPr>
        <w:t xml:space="preserve"> que la Comisión Asesora de Adjudicaciones, de acuerdo al criterio de evaluación establecido en el Pliego, aconseja adjudicar por mejor puntaje en la evaluación y responder sustancialmente a los requisitos exigidos en el Pliego de Condiciones Particulares a la firma </w:t>
      </w:r>
      <w:proofErr w:type="spellStart"/>
      <w:r>
        <w:rPr>
          <w:b w:val="0"/>
          <w:bCs/>
          <w:u w:val="none"/>
        </w:rPr>
        <w:t>Genexus</w:t>
      </w:r>
      <w:proofErr w:type="spellEnd"/>
      <w:r>
        <w:rPr>
          <w:b w:val="0"/>
          <w:bCs/>
          <w:u w:val="none"/>
        </w:rPr>
        <w:t xml:space="preserve"> </w:t>
      </w:r>
      <w:proofErr w:type="spellStart"/>
      <w:r>
        <w:rPr>
          <w:b w:val="0"/>
          <w:bCs/>
          <w:u w:val="none"/>
        </w:rPr>
        <w:t>Consulting</w:t>
      </w:r>
      <w:proofErr w:type="spellEnd"/>
      <w:r>
        <w:rPr>
          <w:b w:val="0"/>
          <w:bCs/>
          <w:u w:val="none"/>
        </w:rPr>
        <w:t xml:space="preserve"> SA por un monto total de $ 12.400.080 IVA incluido; </w:t>
      </w:r>
    </w:p>
    <w:p w:rsidR="00DF4830" w:rsidRDefault="00DF4830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 xml:space="preserve">      </w:t>
      </w:r>
      <w:r>
        <w:rPr>
          <w:u w:val="none"/>
        </w:rPr>
        <w:t>3)</w:t>
      </w:r>
      <w:r>
        <w:rPr>
          <w:b w:val="0"/>
          <w:bCs/>
          <w:u w:val="none"/>
        </w:rPr>
        <w:t xml:space="preserve"> que no consta Resolución de Ordenador </w:t>
      </w:r>
      <w:r w:rsidR="00A47271">
        <w:rPr>
          <w:b w:val="0"/>
          <w:bCs/>
          <w:u w:val="none"/>
        </w:rPr>
        <w:t>c</w:t>
      </w:r>
      <w:r>
        <w:rPr>
          <w:b w:val="0"/>
          <w:bCs/>
          <w:u w:val="none"/>
        </w:rPr>
        <w:t>ompetente;</w:t>
      </w:r>
    </w:p>
    <w:p w:rsidR="00DF4830" w:rsidRDefault="00DF4830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>
        <w:rPr>
          <w:bCs/>
          <w:u w:val="none"/>
        </w:rPr>
        <w:t>CONSIDERANDO:</w:t>
      </w:r>
      <w:r>
        <w:rPr>
          <w:b w:val="0"/>
          <w:bCs/>
          <w:u w:val="none"/>
        </w:rPr>
        <w:t xml:space="preserve"> que el procedimiento licitatorio se enmarca en las normas vigentes (</w:t>
      </w:r>
      <w:r w:rsidR="00A47271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rt</w:t>
      </w:r>
      <w:r w:rsidR="00A47271">
        <w:rPr>
          <w:b w:val="0"/>
          <w:bCs/>
          <w:u w:val="none"/>
        </w:rPr>
        <w:t>ículo</w:t>
      </w:r>
      <w:r>
        <w:rPr>
          <w:b w:val="0"/>
          <w:bCs/>
          <w:u w:val="none"/>
        </w:rPr>
        <w:t xml:space="preserve"> 33 y siguientes del TOCAF), por lo que el gasto no merece objeciones legales;</w:t>
      </w:r>
    </w:p>
    <w:p w:rsidR="00DF4830" w:rsidRDefault="00DF4830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A47271">
        <w:rPr>
          <w:b w:val="0"/>
          <w:bCs/>
          <w:lang w:val="es-UY"/>
        </w:rPr>
        <w:t>A</w:t>
      </w:r>
      <w:r w:rsidR="0078453D">
        <w:rPr>
          <w:b w:val="0"/>
          <w:bCs/>
          <w:lang w:val="es-UY"/>
        </w:rPr>
        <w:t>rtículo</w:t>
      </w:r>
      <w:r>
        <w:rPr>
          <w:b w:val="0"/>
          <w:bCs/>
          <w:lang w:val="es-UY"/>
        </w:rPr>
        <w:t xml:space="preserve"> 211 </w:t>
      </w:r>
      <w:r w:rsidR="00A47271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DF4830" w:rsidRDefault="00DF4830">
      <w:pPr>
        <w:spacing w:line="360" w:lineRule="auto"/>
        <w:jc w:val="both"/>
        <w:rPr>
          <w:b w:val="0"/>
          <w:bCs/>
          <w:lang w:val="es-UY"/>
        </w:rPr>
      </w:pPr>
    </w:p>
    <w:p w:rsidR="00DF4830" w:rsidRDefault="00DF4830">
      <w:pPr>
        <w:pStyle w:val="Ttulo2"/>
        <w:spacing w:line="360" w:lineRule="auto"/>
        <w:rPr>
          <w:lang w:val="es-UY"/>
        </w:rPr>
      </w:pPr>
      <w:r>
        <w:rPr>
          <w:lang w:val="es-UY"/>
        </w:rPr>
        <w:lastRenderedPageBreak/>
        <w:t>EL TRIBUNAL ACUERDA</w:t>
      </w:r>
    </w:p>
    <w:p w:rsidR="00DF4830" w:rsidRDefault="00A47271" w:rsidP="00A47271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A47271">
        <w:rPr>
          <w:rFonts w:ascii="Arial" w:hAnsi="Arial" w:cs="Arial"/>
          <w:bCs/>
        </w:rPr>
        <w:t>1)</w:t>
      </w:r>
      <w:r>
        <w:rPr>
          <w:rFonts w:ascii="Arial" w:hAnsi="Arial" w:cs="Arial"/>
          <w:b w:val="0"/>
          <w:bCs/>
        </w:rPr>
        <w:t xml:space="preserve"> </w:t>
      </w:r>
      <w:r w:rsidR="00DF4830">
        <w:rPr>
          <w:rFonts w:ascii="Arial" w:hAnsi="Arial" w:cs="Arial"/>
          <w:b w:val="0"/>
          <w:bCs/>
        </w:rPr>
        <w:t>No formular observaciones;</w:t>
      </w:r>
    </w:p>
    <w:p w:rsidR="00DF4830" w:rsidRDefault="00A47271" w:rsidP="0038150B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A47271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  <w:bCs/>
        </w:rPr>
        <w:t xml:space="preserve"> </w:t>
      </w:r>
      <w:r w:rsidR="00DF4830">
        <w:rPr>
          <w:rFonts w:ascii="Arial" w:hAnsi="Arial" w:cs="Arial"/>
          <w:b w:val="0"/>
          <w:bCs/>
        </w:rPr>
        <w:t>Cometer a</w:t>
      </w:r>
      <w:r>
        <w:rPr>
          <w:rFonts w:ascii="Arial" w:hAnsi="Arial" w:cs="Arial"/>
          <w:b w:val="0"/>
          <w:bCs/>
        </w:rPr>
        <w:t xml:space="preserve"> </w:t>
      </w:r>
      <w:r w:rsidR="00DF4830">
        <w:rPr>
          <w:rFonts w:ascii="Arial" w:hAnsi="Arial" w:cs="Arial"/>
          <w:b w:val="0"/>
          <w:bCs/>
        </w:rPr>
        <w:t>l</w:t>
      </w:r>
      <w:r>
        <w:rPr>
          <w:rFonts w:ascii="Arial" w:hAnsi="Arial" w:cs="Arial"/>
          <w:b w:val="0"/>
          <w:bCs/>
        </w:rPr>
        <w:t>a</w:t>
      </w:r>
      <w:r w:rsidR="00DF4830">
        <w:rPr>
          <w:rFonts w:ascii="Arial" w:hAnsi="Arial" w:cs="Arial"/>
          <w:b w:val="0"/>
          <w:bCs/>
        </w:rPr>
        <w:t xml:space="preserve"> Contador</w:t>
      </w:r>
      <w:r>
        <w:rPr>
          <w:rFonts w:ascii="Arial" w:hAnsi="Arial" w:cs="Arial"/>
          <w:b w:val="0"/>
          <w:bCs/>
        </w:rPr>
        <w:t>a</w:t>
      </w:r>
      <w:r w:rsidR="00DF4830">
        <w:rPr>
          <w:rFonts w:ascii="Arial" w:hAnsi="Arial" w:cs="Arial"/>
          <w:b w:val="0"/>
          <w:bCs/>
        </w:rPr>
        <w:t xml:space="preserve"> Auditor</w:t>
      </w:r>
      <w:r>
        <w:rPr>
          <w:rFonts w:ascii="Arial" w:hAnsi="Arial" w:cs="Arial"/>
          <w:b w:val="0"/>
          <w:bCs/>
        </w:rPr>
        <w:t>a destacada</w:t>
      </w:r>
      <w:r w:rsidR="00DF4830">
        <w:rPr>
          <w:rFonts w:ascii="Arial" w:hAnsi="Arial" w:cs="Arial"/>
          <w:b w:val="0"/>
          <w:bCs/>
        </w:rPr>
        <w:t xml:space="preserve"> ante la Presidencia de la República la intervención del gasto de $ 12</w:t>
      </w:r>
      <w:r w:rsidR="0038150B">
        <w:rPr>
          <w:rFonts w:ascii="Arial" w:hAnsi="Arial" w:cs="Arial"/>
          <w:b w:val="0"/>
          <w:bCs/>
        </w:rPr>
        <w:t>:</w:t>
      </w:r>
      <w:r w:rsidR="00DF4830">
        <w:rPr>
          <w:rFonts w:ascii="Arial" w:hAnsi="Arial" w:cs="Arial"/>
          <w:b w:val="0"/>
          <w:bCs/>
        </w:rPr>
        <w:t xml:space="preserve">400.080 IVA incluido a favor de </w:t>
      </w:r>
      <w:proofErr w:type="spellStart"/>
      <w:r w:rsidR="00DF4830">
        <w:rPr>
          <w:rFonts w:ascii="Arial" w:hAnsi="Arial" w:cs="Arial"/>
          <w:b w:val="0"/>
          <w:bCs/>
        </w:rPr>
        <w:t>Genexus</w:t>
      </w:r>
      <w:proofErr w:type="spellEnd"/>
      <w:r w:rsidR="00DF4830">
        <w:rPr>
          <w:rFonts w:ascii="Arial" w:hAnsi="Arial" w:cs="Arial"/>
          <w:b w:val="0"/>
          <w:bCs/>
        </w:rPr>
        <w:t xml:space="preserve"> </w:t>
      </w:r>
      <w:proofErr w:type="spellStart"/>
      <w:r w:rsidR="00DF4830">
        <w:rPr>
          <w:rFonts w:ascii="Arial" w:hAnsi="Arial" w:cs="Arial"/>
          <w:b w:val="0"/>
          <w:bCs/>
        </w:rPr>
        <w:t>Consulting</w:t>
      </w:r>
      <w:proofErr w:type="spellEnd"/>
      <w:r w:rsidR="00DF4830">
        <w:rPr>
          <w:rFonts w:ascii="Arial" w:hAnsi="Arial" w:cs="Arial"/>
          <w:b w:val="0"/>
          <w:bCs/>
        </w:rPr>
        <w:t xml:space="preserve"> SA de acuerdo </w:t>
      </w:r>
      <w:r w:rsidR="0038150B">
        <w:rPr>
          <w:rFonts w:ascii="Arial" w:hAnsi="Arial" w:cs="Arial"/>
          <w:b w:val="0"/>
          <w:bCs/>
        </w:rPr>
        <w:t xml:space="preserve">con el </w:t>
      </w:r>
      <w:r w:rsidR="00DF4830">
        <w:rPr>
          <w:rFonts w:ascii="Arial" w:hAnsi="Arial" w:cs="Arial"/>
          <w:b w:val="0"/>
          <w:bCs/>
        </w:rPr>
        <w:t>siguiente detalle: $ 9.359.840 con cargo al Ejercicio 2014 y $ 3.040.240 con cargo al Ejercicio 2015 previo control de su imputación al objeto del gasto y del Artículo 3 de la Ley 18.244 (Deudores Alimentarios);</w:t>
      </w:r>
    </w:p>
    <w:p w:rsidR="00DF4830" w:rsidRDefault="0038150B" w:rsidP="0038150B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38150B">
        <w:rPr>
          <w:rFonts w:ascii="Arial" w:hAnsi="Arial" w:cs="Arial"/>
          <w:bCs/>
        </w:rPr>
        <w:t>3)</w:t>
      </w:r>
      <w:r>
        <w:rPr>
          <w:rFonts w:ascii="Arial" w:hAnsi="Arial" w:cs="Arial"/>
          <w:b w:val="0"/>
          <w:bCs/>
        </w:rPr>
        <w:t xml:space="preserve"> </w:t>
      </w:r>
      <w:r w:rsidR="00DF4830">
        <w:rPr>
          <w:rFonts w:ascii="Arial" w:hAnsi="Arial" w:cs="Arial"/>
          <w:b w:val="0"/>
          <w:bCs/>
        </w:rPr>
        <w:t>Cometer asimismo a</w:t>
      </w:r>
      <w:r>
        <w:rPr>
          <w:rFonts w:ascii="Arial" w:hAnsi="Arial" w:cs="Arial"/>
          <w:b w:val="0"/>
          <w:bCs/>
        </w:rPr>
        <w:t xml:space="preserve"> la</w:t>
      </w:r>
      <w:r w:rsidR="00DF4830">
        <w:rPr>
          <w:rFonts w:ascii="Arial" w:hAnsi="Arial" w:cs="Arial"/>
          <w:b w:val="0"/>
          <w:bCs/>
        </w:rPr>
        <w:t xml:space="preserve"> Contador</w:t>
      </w:r>
      <w:r>
        <w:rPr>
          <w:rFonts w:ascii="Arial" w:hAnsi="Arial" w:cs="Arial"/>
          <w:b w:val="0"/>
          <w:bCs/>
        </w:rPr>
        <w:t>a</w:t>
      </w:r>
      <w:r w:rsidR="00DF4830">
        <w:rPr>
          <w:rFonts w:ascii="Arial" w:hAnsi="Arial" w:cs="Arial"/>
          <w:b w:val="0"/>
          <w:bCs/>
        </w:rPr>
        <w:t xml:space="preserve"> Auditor</w:t>
      </w:r>
      <w:r>
        <w:rPr>
          <w:rFonts w:ascii="Arial" w:hAnsi="Arial" w:cs="Arial"/>
          <w:b w:val="0"/>
          <w:bCs/>
        </w:rPr>
        <w:t>a</w:t>
      </w:r>
      <w:r w:rsidR="00DF4830">
        <w:rPr>
          <w:rFonts w:ascii="Arial" w:hAnsi="Arial" w:cs="Arial"/>
          <w:b w:val="0"/>
          <w:bCs/>
        </w:rPr>
        <w:t xml:space="preserve"> la verificación de que la Resolución Definitiva concuerde con las condiciones de contratación sometidas a este Tribunal (Artículo 8 de la Ordenanza Nº 27 de fecha 22 de mayo de 1958 en la redacción sustitutiva por la Resolución  del Tribunal de Cuent</w:t>
      </w:r>
      <w:r>
        <w:rPr>
          <w:rFonts w:ascii="Arial" w:hAnsi="Arial" w:cs="Arial"/>
          <w:b w:val="0"/>
          <w:bCs/>
        </w:rPr>
        <w:t>as de fecha 16 de junio de 2010</w:t>
      </w:r>
      <w:r w:rsidR="00DF4830">
        <w:rPr>
          <w:rFonts w:ascii="Arial" w:hAnsi="Arial" w:cs="Arial"/>
          <w:b w:val="0"/>
          <w:bCs/>
        </w:rPr>
        <w:t>);</w:t>
      </w:r>
    </w:p>
    <w:p w:rsidR="00DF4830" w:rsidRDefault="0038150B" w:rsidP="0038150B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38150B">
        <w:rPr>
          <w:rFonts w:ascii="Arial" w:hAnsi="Arial" w:cs="Arial"/>
          <w:bCs/>
        </w:rPr>
        <w:t>4)</w:t>
      </w:r>
      <w:r>
        <w:rPr>
          <w:rFonts w:ascii="Arial" w:hAnsi="Arial" w:cs="Arial"/>
          <w:bCs/>
        </w:rPr>
        <w:t xml:space="preserve"> </w:t>
      </w:r>
      <w:r w:rsidR="00DF4830">
        <w:rPr>
          <w:rFonts w:ascii="Arial" w:hAnsi="Arial" w:cs="Arial"/>
          <w:b w:val="0"/>
          <w:bCs/>
        </w:rPr>
        <w:t>Comunicar a</w:t>
      </w:r>
      <w:r>
        <w:rPr>
          <w:rFonts w:ascii="Arial" w:hAnsi="Arial" w:cs="Arial"/>
          <w:b w:val="0"/>
          <w:bCs/>
        </w:rPr>
        <w:t xml:space="preserve"> </w:t>
      </w:r>
      <w:r w:rsidR="00DF4830">
        <w:rPr>
          <w:rFonts w:ascii="Arial" w:hAnsi="Arial" w:cs="Arial"/>
          <w:b w:val="0"/>
          <w:bCs/>
        </w:rPr>
        <w:t>l</w:t>
      </w:r>
      <w:r>
        <w:rPr>
          <w:rFonts w:ascii="Arial" w:hAnsi="Arial" w:cs="Arial"/>
          <w:b w:val="0"/>
          <w:bCs/>
        </w:rPr>
        <w:t>a</w:t>
      </w:r>
      <w:r w:rsidR="00DF4830">
        <w:rPr>
          <w:rFonts w:ascii="Arial" w:hAnsi="Arial" w:cs="Arial"/>
          <w:b w:val="0"/>
          <w:bCs/>
        </w:rPr>
        <w:t xml:space="preserve"> Contador</w:t>
      </w:r>
      <w:r>
        <w:rPr>
          <w:rFonts w:ascii="Arial" w:hAnsi="Arial" w:cs="Arial"/>
          <w:b w:val="0"/>
          <w:bCs/>
        </w:rPr>
        <w:t>a</w:t>
      </w:r>
      <w:r w:rsidR="00DF4830">
        <w:rPr>
          <w:rFonts w:ascii="Arial" w:hAnsi="Arial" w:cs="Arial"/>
          <w:b w:val="0"/>
          <w:bCs/>
        </w:rPr>
        <w:t xml:space="preserve"> Auditor</w:t>
      </w:r>
      <w:r>
        <w:rPr>
          <w:rFonts w:ascii="Arial" w:hAnsi="Arial" w:cs="Arial"/>
          <w:b w:val="0"/>
          <w:bCs/>
        </w:rPr>
        <w:t>a</w:t>
      </w:r>
      <w:r w:rsidR="00DF4830">
        <w:rPr>
          <w:rFonts w:ascii="Arial" w:hAnsi="Arial" w:cs="Arial"/>
          <w:b w:val="0"/>
          <w:bCs/>
        </w:rPr>
        <w:t>;</w:t>
      </w:r>
      <w:r>
        <w:rPr>
          <w:rFonts w:ascii="Arial" w:hAnsi="Arial" w:cs="Arial"/>
          <w:b w:val="0"/>
          <w:bCs/>
        </w:rPr>
        <w:t xml:space="preserve"> y</w:t>
      </w:r>
    </w:p>
    <w:p w:rsidR="00DF4830" w:rsidRDefault="00A51124" w:rsidP="00A51124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A51124">
        <w:rPr>
          <w:rFonts w:ascii="Arial" w:hAnsi="Arial" w:cs="Arial"/>
          <w:bCs/>
        </w:rPr>
        <w:t>5)</w:t>
      </w:r>
      <w:r>
        <w:rPr>
          <w:rFonts w:ascii="Arial" w:hAnsi="Arial" w:cs="Arial"/>
          <w:b w:val="0"/>
          <w:bCs/>
        </w:rPr>
        <w:t xml:space="preserve"> </w:t>
      </w:r>
      <w:r w:rsidR="00DF4830">
        <w:rPr>
          <w:rFonts w:ascii="Arial" w:hAnsi="Arial" w:cs="Arial"/>
          <w:b w:val="0"/>
          <w:bCs/>
        </w:rPr>
        <w:t>Devolver las actuaciones.</w:t>
      </w:r>
    </w:p>
    <w:p w:rsidR="00DF4830" w:rsidRDefault="00DF4830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A51124" w:rsidRDefault="00A51124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A51124" w:rsidRDefault="00A51124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A51124" w:rsidRDefault="00A51124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A51124" w:rsidRDefault="00A51124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A51124" w:rsidRDefault="00A51124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bookmarkStart w:id="0" w:name="_GoBack"/>
      <w:bookmarkEnd w:id="0"/>
      <w:proofErr w:type="spellEnd"/>
      <w:proofErr w:type="gramEnd"/>
    </w:p>
    <w:sectPr w:rsidR="00A51124" w:rsidSect="007C25B4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9EA22FB"/>
    <w:multiLevelType w:val="hybridMultilevel"/>
    <w:tmpl w:val="A058F9F0"/>
    <w:lvl w:ilvl="0" w:tplc="239681B6">
      <w:start w:val="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3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</w:num>
  <w:num w:numId="7">
    <w:abstractNumId w:val="15"/>
  </w:num>
  <w:num w:numId="8">
    <w:abstractNumId w:val="6"/>
  </w:num>
  <w:num w:numId="9">
    <w:abstractNumId w:val="3"/>
  </w:num>
  <w:num w:numId="10">
    <w:abstractNumId w:val="10"/>
  </w:num>
  <w:num w:numId="11">
    <w:abstractNumId w:val="18"/>
  </w:num>
  <w:num w:numId="12">
    <w:abstractNumId w:val="20"/>
  </w:num>
  <w:num w:numId="13">
    <w:abstractNumId w:val="22"/>
  </w:num>
  <w:num w:numId="14">
    <w:abstractNumId w:val="5"/>
  </w:num>
  <w:num w:numId="15">
    <w:abstractNumId w:val="14"/>
  </w:num>
  <w:num w:numId="16">
    <w:abstractNumId w:val="16"/>
  </w:num>
  <w:num w:numId="17">
    <w:abstractNumId w:val="19"/>
  </w:num>
  <w:num w:numId="18">
    <w:abstractNumId w:val="8"/>
  </w:num>
  <w:num w:numId="19">
    <w:abstractNumId w:val="9"/>
  </w:num>
  <w:num w:numId="20">
    <w:abstractNumId w:val="7"/>
  </w:num>
  <w:num w:numId="21">
    <w:abstractNumId w:val="1"/>
  </w:num>
  <w:num w:numId="22">
    <w:abstractNumId w:val="0"/>
  </w:num>
  <w:num w:numId="23">
    <w:abstractNumId w:val="9"/>
    <w:lvlOverride w:ilvl="0">
      <w:startOverride w:val="9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3D"/>
    <w:rsid w:val="0038150B"/>
    <w:rsid w:val="0078453D"/>
    <w:rsid w:val="007C25B4"/>
    <w:rsid w:val="00A47271"/>
    <w:rsid w:val="00A51124"/>
    <w:rsid w:val="00D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> 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2014-02-14T10:55:00Z</cp:lastPrinted>
  <dcterms:created xsi:type="dcterms:W3CDTF">2014-02-14T10:56:00Z</dcterms:created>
  <dcterms:modified xsi:type="dcterms:W3CDTF">2014-02-14T10:56:00Z</dcterms:modified>
</cp:coreProperties>
</file>