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290" w:rsidRDefault="00DF5290">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DF5290" w:rsidRDefault="00DF5290">
      <w:pPr>
        <w:tabs>
          <w:tab w:val="left" w:pos="-720"/>
        </w:tabs>
        <w:suppressAutoHyphens/>
        <w:jc w:val="center"/>
        <w:rPr>
          <w:rFonts w:ascii="Helvetica" w:hAnsi="Helvetica"/>
          <w:b/>
          <w:lang w:val="es-ES_tradnl"/>
        </w:rPr>
      </w:pPr>
    </w:p>
    <w:p w:rsidR="00DF5290" w:rsidRDefault="00DF5290">
      <w:pPr>
        <w:tabs>
          <w:tab w:val="center" w:pos="4253"/>
        </w:tabs>
        <w:suppressAutoHyphens/>
        <w:jc w:val="center"/>
        <w:rPr>
          <w:rFonts w:ascii="Helvetica" w:hAnsi="Helvetica"/>
          <w:b/>
          <w:lang w:val="es-ES_tradnl"/>
        </w:rPr>
      </w:pPr>
      <w:r>
        <w:rPr>
          <w:rFonts w:ascii="Helvetica" w:hAnsi="Helvetica"/>
          <w:b/>
          <w:lang w:val="es-ES_tradnl"/>
        </w:rPr>
        <w:t>TRIBUNAL DE CUENTAS</w:t>
      </w:r>
    </w:p>
    <w:p w:rsidR="00DF5290" w:rsidRDefault="00DF5290">
      <w:pPr>
        <w:tabs>
          <w:tab w:val="left" w:pos="-720"/>
        </w:tabs>
        <w:suppressAutoHyphens/>
        <w:jc w:val="center"/>
        <w:rPr>
          <w:rFonts w:ascii="Helvetica" w:hAnsi="Helvetica"/>
          <w:b/>
          <w:lang w:val="es-ES_tradnl"/>
        </w:rPr>
      </w:pPr>
    </w:p>
    <w:p w:rsidR="00DF5290" w:rsidRDefault="00DF5290">
      <w:pPr>
        <w:tabs>
          <w:tab w:val="center" w:pos="4253"/>
        </w:tabs>
        <w:suppressAutoHyphens/>
        <w:jc w:val="center"/>
        <w:rPr>
          <w:rFonts w:ascii="Helvetica" w:hAnsi="Helvetica"/>
          <w:b/>
          <w:lang w:val="es-ES_tradnl"/>
        </w:rPr>
      </w:pPr>
      <w:r>
        <w:rPr>
          <w:rFonts w:ascii="Helvetica" w:hAnsi="Helvetica"/>
          <w:b/>
          <w:lang w:val="es-ES_tradnl"/>
        </w:rPr>
        <w:t>EN SESION DE FECHA  DE 5 DE FEBRERO DE 2014</w:t>
      </w:r>
    </w:p>
    <w:p w:rsidR="00DF5290" w:rsidRDefault="00DF5290">
      <w:pPr>
        <w:tabs>
          <w:tab w:val="center" w:pos="4253"/>
        </w:tabs>
        <w:suppressAutoHyphens/>
        <w:jc w:val="center"/>
        <w:rPr>
          <w:rFonts w:ascii="Helvetica" w:hAnsi="Helvetica"/>
          <w:b/>
          <w:lang w:val="es-ES_tradnl"/>
        </w:rPr>
      </w:pPr>
    </w:p>
    <w:p w:rsidR="00DF5290" w:rsidRPr="00EF51D2" w:rsidRDefault="00DF5290">
      <w:pPr>
        <w:tabs>
          <w:tab w:val="center" w:pos="4253"/>
        </w:tabs>
        <w:suppressAutoHyphens/>
        <w:jc w:val="center"/>
        <w:rPr>
          <w:rFonts w:ascii="Helvetica" w:hAnsi="Helvetica"/>
          <w:b/>
          <w:lang w:val="es-UY"/>
        </w:rPr>
      </w:pPr>
      <w:r w:rsidRPr="00EF51D2">
        <w:rPr>
          <w:rFonts w:ascii="Helvetica" w:hAnsi="Helvetica"/>
          <w:b/>
          <w:lang w:val="es-UY"/>
        </w:rPr>
        <w:t xml:space="preserve">(E. E. Nº 2014-17-1-0000241, </w:t>
      </w:r>
      <w:proofErr w:type="spellStart"/>
      <w:r w:rsidRPr="00EF51D2">
        <w:rPr>
          <w:rFonts w:ascii="Helvetica" w:hAnsi="Helvetica"/>
          <w:b/>
          <w:lang w:val="es-UY"/>
        </w:rPr>
        <w:t>Ent</w:t>
      </w:r>
      <w:proofErr w:type="spellEnd"/>
      <w:r w:rsidRPr="00EF51D2">
        <w:rPr>
          <w:rFonts w:ascii="Helvetica" w:hAnsi="Helvetica"/>
          <w:b/>
          <w:lang w:val="es-UY"/>
        </w:rPr>
        <w:t>. N° 177/13.)</w:t>
      </w:r>
    </w:p>
    <w:p w:rsidR="00DF5290" w:rsidRPr="00EF51D2" w:rsidRDefault="00DF5290">
      <w:pPr>
        <w:tabs>
          <w:tab w:val="center" w:pos="4253"/>
        </w:tabs>
        <w:suppressAutoHyphens/>
        <w:jc w:val="center"/>
        <w:rPr>
          <w:spacing w:val="-3"/>
          <w:lang w:val="es-UY"/>
        </w:rPr>
      </w:pPr>
    </w:p>
    <w:p w:rsidR="00DF5290" w:rsidRPr="00EF51D2" w:rsidRDefault="00DF5290">
      <w:pPr>
        <w:tabs>
          <w:tab w:val="center" w:pos="4253"/>
        </w:tabs>
        <w:suppressAutoHyphens/>
        <w:rPr>
          <w:spacing w:val="-3"/>
          <w:lang w:val="es-UY"/>
        </w:rPr>
      </w:pPr>
    </w:p>
    <w:p w:rsidR="00C25D75" w:rsidRDefault="006361D5" w:rsidP="00DF5290">
      <w:pPr>
        <w:spacing w:line="360" w:lineRule="auto"/>
        <w:ind w:firstLine="708"/>
        <w:jc w:val="both"/>
        <w:rPr>
          <w:rFonts w:cs="Arial"/>
          <w:lang w:val="es-MX"/>
        </w:rPr>
      </w:pPr>
      <w:r>
        <w:rPr>
          <w:rFonts w:cs="Arial"/>
          <w:b/>
        </w:rPr>
        <w:t>VISTO:</w:t>
      </w:r>
      <w:r>
        <w:rPr>
          <w:rFonts w:cs="Arial"/>
        </w:rPr>
        <w:t xml:space="preserve"> estas actuaciones remitidas por la Administración de las Obras Sanitarias del Estado (O.S.E), relacionadas con la gestión  de un préstamo con el Banco República Oriental del Uruguay (B.R.O.U) para el financiamiento de obligaciones derivadas de obras incluidas en el Plan de Inversiones previsto  para el 2013 que se encuentran en ejecución o que se prevé ejecutar</w:t>
      </w:r>
      <w:r>
        <w:rPr>
          <w:rFonts w:cs="Arial"/>
          <w:lang w:val="es-MX"/>
        </w:rPr>
        <w:t xml:space="preserve">;  </w:t>
      </w:r>
    </w:p>
    <w:p w:rsidR="00C25D75" w:rsidRDefault="006361D5" w:rsidP="00DF5290">
      <w:pPr>
        <w:spacing w:line="360" w:lineRule="auto"/>
        <w:ind w:firstLine="708"/>
        <w:jc w:val="both"/>
      </w:pPr>
      <w:r>
        <w:rPr>
          <w:b/>
          <w:bCs/>
        </w:rPr>
        <w:t>RESULTANDO:</w:t>
      </w:r>
      <w:r>
        <w:t xml:space="preserve"> </w:t>
      </w:r>
      <w:r>
        <w:rPr>
          <w:b/>
          <w:bCs/>
        </w:rPr>
        <w:t xml:space="preserve">1)  </w:t>
      </w:r>
      <w:r>
        <w:t xml:space="preserve">que de acuerdo </w:t>
      </w:r>
      <w:r w:rsidR="00DF5290">
        <w:t>con el N</w:t>
      </w:r>
      <w:r>
        <w:t>umeral 2</w:t>
      </w:r>
      <w:r w:rsidR="00DF5290">
        <w:t>)</w:t>
      </w:r>
      <w:r>
        <w:t xml:space="preserve"> de la Autorizaci</w:t>
      </w:r>
      <w:r w:rsidR="00DF5290">
        <w:t>ón de fecha 2/5/13, OSE autorizó</w:t>
      </w:r>
      <w:r>
        <w:t xml:space="preserve"> al BROU, para el caso de producirse incumplimiento en abonar lo adeudado por pago de cuotas del préstamo por U$S 24.000.000,</w:t>
      </w:r>
      <w:r w:rsidR="00DF5290">
        <w:t xml:space="preserve"> debite de su cuenta corriente N</w:t>
      </w:r>
      <w:r>
        <w:t xml:space="preserve">o. 152/24082(cuenta de depósitos de </w:t>
      </w:r>
      <w:proofErr w:type="spellStart"/>
      <w:r>
        <w:t>Abitab</w:t>
      </w:r>
      <w:proofErr w:type="spellEnd"/>
      <w:r>
        <w:t xml:space="preserve"> SA por recaudación de facturas de clientes), los importes adeudados mas los intereses que correspondieran;</w:t>
      </w:r>
    </w:p>
    <w:p w:rsidR="00B6291A" w:rsidRDefault="006361D5" w:rsidP="00B6291A">
      <w:pPr>
        <w:spacing w:line="360" w:lineRule="auto"/>
        <w:ind w:firstLine="2552"/>
        <w:jc w:val="both"/>
      </w:pPr>
      <w:r w:rsidRPr="00B6291A">
        <w:rPr>
          <w:b/>
        </w:rPr>
        <w:t>2)</w:t>
      </w:r>
      <w:r w:rsidR="00B6291A">
        <w:rPr>
          <w:b/>
        </w:rPr>
        <w:t xml:space="preserve"> </w:t>
      </w:r>
      <w:r>
        <w:t>que por Resolución Nº 1383/13 de 23/10/13, el Directorio dispuso:</w:t>
      </w:r>
    </w:p>
    <w:p w:rsidR="00B6291A" w:rsidRDefault="006361D5" w:rsidP="00B6291A">
      <w:pPr>
        <w:spacing w:line="360" w:lineRule="auto"/>
        <w:ind w:left="284" w:hanging="284"/>
        <w:jc w:val="both"/>
      </w:pPr>
      <w:r w:rsidRPr="00B6291A">
        <w:rPr>
          <w:b/>
          <w:bCs/>
        </w:rPr>
        <w:t>a)</w:t>
      </w:r>
      <w:r>
        <w:rPr>
          <w:b/>
          <w:bCs/>
        </w:rPr>
        <w:t xml:space="preserve"> </w:t>
      </w:r>
      <w:r>
        <w:t>aprobar un préstamo con el B.R.O.U, a través de una utilización de la asistencia crediticia integral otorgada por dicha Institución bancaria, por un monto de U$S 7:500.000,</w:t>
      </w:r>
      <w:r w:rsidR="00B6291A">
        <w:t xml:space="preserve"> </w:t>
      </w:r>
      <w:r>
        <w:t>(considerado dentro de la línea financiera total otorgada por U$S 24.000.000),</w:t>
      </w:r>
      <w:r w:rsidR="00B6291A">
        <w:t xml:space="preserve"> </w:t>
      </w:r>
      <w:r>
        <w:t xml:space="preserve">con un plazo de repago de nueve años de amortización, incluyendo una gracia, con pago de interés vigente en el Banco al momento de la operación, más la prima por plazo, al amparo del </w:t>
      </w:r>
      <w:r w:rsidR="00B6291A">
        <w:t>A</w:t>
      </w:r>
      <w:r>
        <w:t>rt</w:t>
      </w:r>
      <w:r w:rsidR="00B6291A">
        <w:t>ículo</w:t>
      </w:r>
      <w:r>
        <w:t xml:space="preserve"> 33, </w:t>
      </w:r>
      <w:r w:rsidR="00B6291A">
        <w:t>L</w:t>
      </w:r>
      <w:r>
        <w:t>iteral C</w:t>
      </w:r>
      <w:r w:rsidR="00B6291A">
        <w:t>)</w:t>
      </w:r>
      <w:r>
        <w:t xml:space="preserve"> </w:t>
      </w:r>
      <w:r w:rsidR="00B6291A">
        <w:t>N</w:t>
      </w:r>
      <w:r>
        <w:t>umeral 1</w:t>
      </w:r>
      <w:r w:rsidR="00B6291A">
        <w:t>)</w:t>
      </w:r>
      <w:r>
        <w:t xml:space="preserve"> del TOCAF y complementarias</w:t>
      </w:r>
      <w:r w:rsidR="00B6291A">
        <w:t>;</w:t>
      </w:r>
    </w:p>
    <w:p w:rsidR="00EF51D2" w:rsidRDefault="006361D5" w:rsidP="00EF51D2">
      <w:pPr>
        <w:spacing w:line="360" w:lineRule="auto"/>
        <w:ind w:left="284" w:hanging="284"/>
        <w:jc w:val="both"/>
        <w:rPr>
          <w:spacing w:val="8"/>
        </w:rPr>
      </w:pPr>
      <w:r w:rsidRPr="00B6291A">
        <w:rPr>
          <w:b/>
          <w:bCs/>
        </w:rPr>
        <w:t>b)</w:t>
      </w:r>
      <w:r>
        <w:rPr>
          <w:b/>
          <w:bCs/>
        </w:rPr>
        <w:t xml:space="preserve"> </w:t>
      </w:r>
      <w:r>
        <w:t xml:space="preserve">autorizar a suscribir la documentación (Documento de Adeudo  Amortizable), </w:t>
      </w:r>
      <w:proofErr w:type="spellStart"/>
      <w:r w:rsidRPr="00B6291A">
        <w:rPr>
          <w:spacing w:val="8"/>
        </w:rPr>
        <w:t>respaldante</w:t>
      </w:r>
      <w:proofErr w:type="spellEnd"/>
      <w:r w:rsidRPr="00B6291A">
        <w:rPr>
          <w:spacing w:val="8"/>
        </w:rPr>
        <w:t xml:space="preserve"> del mismo</w:t>
      </w:r>
      <w:r w:rsidR="00EF51D2">
        <w:rPr>
          <w:spacing w:val="8"/>
        </w:rPr>
        <w:t>;</w:t>
      </w:r>
      <w:r w:rsidRPr="00B6291A">
        <w:rPr>
          <w:spacing w:val="8"/>
        </w:rPr>
        <w:t xml:space="preserve"> y</w:t>
      </w:r>
    </w:p>
    <w:p w:rsidR="00C25D75" w:rsidRDefault="006361D5" w:rsidP="00EF51D2">
      <w:pPr>
        <w:spacing w:line="360" w:lineRule="auto"/>
        <w:ind w:left="284" w:hanging="284"/>
        <w:jc w:val="both"/>
      </w:pPr>
      <w:r w:rsidRPr="00EF51D2">
        <w:rPr>
          <w:b/>
          <w:spacing w:val="8"/>
        </w:rPr>
        <w:lastRenderedPageBreak/>
        <w:t>c)</w:t>
      </w:r>
      <w:r w:rsidRPr="00B6291A">
        <w:rPr>
          <w:spacing w:val="8"/>
        </w:rPr>
        <w:t xml:space="preserve"> autorizar asimismo un crédito por la suma de U$S</w:t>
      </w:r>
      <w:r>
        <w:t xml:space="preserve"> 2:450.000 (dólares estadounidenses dos millones cuatrocientos cincuenta mil), a efectos de hacer frente al pago del gasto derivado de los intereses correspondientes en todo el período de vida del Préstamo, de los cuales, en función de los vencimientos acordados, corresponde imputar erogaciones con cargo al Ejercicio 2014 por U$S 470.000 (dólares estadounidenses cuatrocientos setenta mil), no correspondiendo imputar erogaciones con cargo al Ejercicio 2013; </w:t>
      </w:r>
    </w:p>
    <w:p w:rsidR="00C25D75" w:rsidRDefault="006361D5" w:rsidP="00B6291A">
      <w:pPr>
        <w:spacing w:line="360" w:lineRule="auto"/>
        <w:ind w:firstLine="2552"/>
        <w:jc w:val="both"/>
      </w:pPr>
      <w:r>
        <w:rPr>
          <w:b/>
        </w:rPr>
        <w:t xml:space="preserve">3)  </w:t>
      </w:r>
      <w:r>
        <w:t xml:space="preserve">que se adjunta Documento de Adeudo suscrito </w:t>
      </w:r>
      <w:proofErr w:type="spellStart"/>
      <w:r>
        <w:t>porel</w:t>
      </w:r>
      <w:proofErr w:type="spellEnd"/>
      <w:r>
        <w:t xml:space="preserve"> BROU y OSE, por el cual este último se constituye en deudor por la suma de U$S 7:500.000, la que  se abonará en 18 cuotas a una TEA Inicial de 6.250%</w:t>
      </w:r>
      <w:r w:rsidR="00B6291A">
        <w:t>;</w:t>
      </w:r>
    </w:p>
    <w:p w:rsidR="00C25D75" w:rsidRDefault="006361D5" w:rsidP="00B6291A">
      <w:pPr>
        <w:spacing w:line="360" w:lineRule="auto"/>
        <w:ind w:firstLine="708"/>
        <w:jc w:val="both"/>
      </w:pPr>
      <w:r>
        <w:rPr>
          <w:b/>
          <w:bCs/>
        </w:rPr>
        <w:t>CONSIDERANDO:</w:t>
      </w:r>
      <w:r>
        <w:t xml:space="preserve"> </w:t>
      </w:r>
      <w:r>
        <w:rPr>
          <w:b/>
          <w:bCs/>
        </w:rPr>
        <w:t>1)</w:t>
      </w:r>
      <w:r>
        <w:t xml:space="preserve"> </w:t>
      </w:r>
      <w:r>
        <w:rPr>
          <w:rFonts w:cs="Arial"/>
          <w:lang w:val="es-MX"/>
        </w:rPr>
        <w:t xml:space="preserve">que el procedimiento directo seguido para la selección del </w:t>
      </w:r>
      <w:proofErr w:type="spellStart"/>
      <w:r>
        <w:rPr>
          <w:rFonts w:cs="Arial"/>
          <w:lang w:val="es-MX"/>
        </w:rPr>
        <w:t>co</w:t>
      </w:r>
      <w:proofErr w:type="spellEnd"/>
      <w:r>
        <w:rPr>
          <w:rFonts w:cs="Arial"/>
          <w:lang w:val="es-MX"/>
        </w:rPr>
        <w:t xml:space="preserve">-contratante, atendiendo a la naturaleza jurídica de las partes </w:t>
      </w:r>
      <w:r w:rsidRPr="00B6291A">
        <w:rPr>
          <w:rFonts w:cs="Arial"/>
          <w:spacing w:val="-6"/>
          <w:lang w:val="es-MX"/>
        </w:rPr>
        <w:t xml:space="preserve">del convenio, encuadra en la causal de excepción establecida por el </w:t>
      </w:r>
      <w:r w:rsidR="00B6291A" w:rsidRPr="00B6291A">
        <w:rPr>
          <w:rFonts w:cs="Arial"/>
          <w:spacing w:val="-6"/>
          <w:lang w:val="es-MX"/>
        </w:rPr>
        <w:t>Nume</w:t>
      </w:r>
      <w:r w:rsidRPr="00B6291A">
        <w:rPr>
          <w:rFonts w:cs="Arial"/>
          <w:spacing w:val="-6"/>
          <w:lang w:val="es-MX"/>
        </w:rPr>
        <w:t>ral</w:t>
      </w:r>
      <w:r>
        <w:rPr>
          <w:rFonts w:cs="Arial"/>
          <w:lang w:val="es-MX"/>
        </w:rPr>
        <w:t xml:space="preserve"> 1) del </w:t>
      </w:r>
      <w:r w:rsidR="00B6291A">
        <w:rPr>
          <w:rFonts w:cs="Arial"/>
          <w:lang w:val="es-MX"/>
        </w:rPr>
        <w:t>L</w:t>
      </w:r>
      <w:r>
        <w:rPr>
          <w:rFonts w:cs="Arial"/>
          <w:lang w:val="es-MX"/>
        </w:rPr>
        <w:t xml:space="preserve">iteral </w:t>
      </w:r>
      <w:r w:rsidR="00B6291A">
        <w:rPr>
          <w:rFonts w:cs="Arial"/>
          <w:lang w:val="es-MX"/>
        </w:rPr>
        <w:t>C</w:t>
      </w:r>
      <w:r>
        <w:rPr>
          <w:rFonts w:cs="Arial"/>
          <w:lang w:val="es-MX"/>
        </w:rPr>
        <w:t xml:space="preserve">) </w:t>
      </w:r>
      <w:r w:rsidR="00B6291A">
        <w:rPr>
          <w:rFonts w:cs="Arial"/>
          <w:lang w:val="es-MX"/>
        </w:rPr>
        <w:t>A</w:t>
      </w:r>
      <w:r>
        <w:rPr>
          <w:rFonts w:cs="Arial"/>
          <w:lang w:val="es-MX"/>
        </w:rPr>
        <w:t>rtículo 33 del TOCAF;</w:t>
      </w:r>
    </w:p>
    <w:p w:rsidR="00C25D75" w:rsidRPr="00B6291A" w:rsidRDefault="006361D5" w:rsidP="00B6291A">
      <w:pPr>
        <w:tabs>
          <w:tab w:val="left" w:pos="2160"/>
        </w:tabs>
        <w:autoSpaceDE w:val="0"/>
        <w:autoSpaceDN w:val="0"/>
        <w:adjustRightInd w:val="0"/>
        <w:spacing w:line="360" w:lineRule="auto"/>
        <w:ind w:firstLine="2977"/>
        <w:jc w:val="both"/>
      </w:pPr>
      <w:r>
        <w:rPr>
          <w:b/>
          <w:bCs/>
        </w:rPr>
        <w:t>2)</w:t>
      </w:r>
      <w:r>
        <w:t xml:space="preserve"> que el </w:t>
      </w:r>
      <w:r w:rsidR="00B6291A">
        <w:t>N</w:t>
      </w:r>
      <w:r>
        <w:t>umeral 6</w:t>
      </w:r>
      <w:r w:rsidR="00B6291A">
        <w:t>)</w:t>
      </w:r>
      <w:r>
        <w:t xml:space="preserve"> del </w:t>
      </w:r>
      <w:r w:rsidR="00B6291A">
        <w:t>A</w:t>
      </w:r>
      <w:r>
        <w:t xml:space="preserve">rtículo 85 de la Constitución de la República, designa como competencia de la Asamblea General el </w:t>
      </w:r>
      <w:r w:rsidRPr="00B6291A">
        <w:rPr>
          <w:iCs/>
        </w:rPr>
        <w:t>“autorizar, a iniciativa del Poder Ejecutivo, la Deuda Pública Nacional, consolidarla, designar sus garantías y reglamentar el crédito público”</w:t>
      </w:r>
      <w:r w:rsidRPr="00B6291A">
        <w:t xml:space="preserve">, definido este último por la doctrina como la capacidad moral, económica y jurídica que tiene el Estado de contraer deudas, es decir la facultad potencial que tiene el Estado de endeudarse; </w:t>
      </w:r>
    </w:p>
    <w:p w:rsidR="00C25D75" w:rsidRDefault="006361D5" w:rsidP="00B6291A">
      <w:pPr>
        <w:tabs>
          <w:tab w:val="left" w:pos="2160"/>
        </w:tabs>
        <w:autoSpaceDE w:val="0"/>
        <w:autoSpaceDN w:val="0"/>
        <w:adjustRightInd w:val="0"/>
        <w:spacing w:line="360" w:lineRule="auto"/>
        <w:ind w:firstLine="2977"/>
        <w:jc w:val="both"/>
      </w:pPr>
      <w:r>
        <w:rPr>
          <w:b/>
          <w:bCs/>
        </w:rPr>
        <w:t xml:space="preserve">3) </w:t>
      </w:r>
      <w:r>
        <w:t xml:space="preserve">que el </w:t>
      </w:r>
      <w:r w:rsidR="00B6291A">
        <w:t>A</w:t>
      </w:r>
      <w:r>
        <w:t xml:space="preserve">rtículo 8 del T.O.C.A.F dispone que el destino de los recursos del Estado sólo podrá ser dispuesto por ley, o en su caso, por resolución de la Junta Departamental; </w:t>
      </w:r>
    </w:p>
    <w:p w:rsidR="00C25D75" w:rsidRDefault="006361D5" w:rsidP="006361D5">
      <w:pPr>
        <w:tabs>
          <w:tab w:val="left" w:pos="2160"/>
        </w:tabs>
        <w:autoSpaceDE w:val="0"/>
        <w:autoSpaceDN w:val="0"/>
        <w:adjustRightInd w:val="0"/>
        <w:spacing w:line="360" w:lineRule="auto"/>
        <w:ind w:firstLine="2977"/>
        <w:jc w:val="both"/>
      </w:pPr>
      <w:r>
        <w:rPr>
          <w:b/>
          <w:bCs/>
        </w:rPr>
        <w:t xml:space="preserve">4) </w:t>
      </w:r>
      <w:r>
        <w:t xml:space="preserve">que tal como surge de la lectura de las normas citadas, las mismas constituyen un todo armónico que consagra el principio de reserva legal cuando se trata de comprometer el patrimonio del Estado; </w:t>
      </w:r>
    </w:p>
    <w:p w:rsidR="00C25D75" w:rsidRDefault="006361D5" w:rsidP="006361D5">
      <w:pPr>
        <w:spacing w:line="360" w:lineRule="auto"/>
        <w:ind w:firstLine="2977"/>
        <w:jc w:val="both"/>
      </w:pPr>
      <w:r>
        <w:rPr>
          <w:b/>
          <w:bCs/>
        </w:rPr>
        <w:lastRenderedPageBreak/>
        <w:t xml:space="preserve">5) </w:t>
      </w:r>
      <w:r>
        <w:t xml:space="preserve">que el Artículo 267 de la Ley Nº 18.834 de 4 de noviembre de 2011, establece que las operaciones financieras de los entes autónomos y servicios descentralizados del dominio industrial y comercial del </w:t>
      </w:r>
      <w:r>
        <w:br/>
        <w:t>Estado, excluido el financiamiento de proveedores, que impliquen un endeudamiento superior al equivalente a UI 85:000.000, deberán ser autorizadas por el Poder Ejecutivo e informadas a la Asamblea General;</w:t>
      </w:r>
    </w:p>
    <w:p w:rsidR="00C25D75" w:rsidRDefault="006361D5" w:rsidP="006361D5">
      <w:pPr>
        <w:tabs>
          <w:tab w:val="left" w:pos="2160"/>
        </w:tabs>
        <w:autoSpaceDE w:val="0"/>
        <w:autoSpaceDN w:val="0"/>
        <w:adjustRightInd w:val="0"/>
        <w:spacing w:line="360" w:lineRule="auto"/>
        <w:ind w:firstLine="2977"/>
        <w:jc w:val="both"/>
      </w:pPr>
      <w:r>
        <w:rPr>
          <w:b/>
          <w:bCs/>
        </w:rPr>
        <w:t xml:space="preserve">6) </w:t>
      </w:r>
      <w:r>
        <w:t>que de acuerdo con la normativa citada en el considerando precedente, el Organismo actuante tiene  competenc</w:t>
      </w:r>
      <w:r w:rsidR="00EF51D2">
        <w:t>ia para operaciones financieras</w:t>
      </w:r>
      <w:r>
        <w:t>,</w:t>
      </w:r>
      <w:r w:rsidR="00EF51D2">
        <w:t xml:space="preserve"> </w:t>
      </w:r>
      <w:bookmarkStart w:id="0" w:name="_GoBack"/>
      <w:bookmarkEnd w:id="0"/>
      <w:r>
        <w:t xml:space="preserve">contando con autorización legal al respecto; </w:t>
      </w:r>
    </w:p>
    <w:p w:rsidR="00C25D75" w:rsidRDefault="006361D5" w:rsidP="006361D5">
      <w:pPr>
        <w:spacing w:line="360" w:lineRule="auto"/>
        <w:ind w:firstLine="708"/>
        <w:jc w:val="both"/>
      </w:pPr>
      <w:r>
        <w:rPr>
          <w:b/>
        </w:rPr>
        <w:t>A</w:t>
      </w:r>
      <w:r>
        <w:rPr>
          <w:rFonts w:cs="Arial"/>
          <w:b/>
          <w:bCs/>
        </w:rPr>
        <w:t>TENTO:</w:t>
      </w:r>
      <w:r>
        <w:rPr>
          <w:rFonts w:cs="Arial"/>
        </w:rPr>
        <w:t xml:space="preserve"> a lo expuesto precedentemente y a lo dispuesto por el Literal B) del Artículo 211 de la Constitución de la República:</w:t>
      </w:r>
    </w:p>
    <w:p w:rsidR="00C25D75" w:rsidRDefault="006361D5">
      <w:pPr>
        <w:spacing w:line="360" w:lineRule="auto"/>
        <w:jc w:val="center"/>
        <w:rPr>
          <w:b/>
        </w:rPr>
      </w:pPr>
      <w:r>
        <w:rPr>
          <w:b/>
        </w:rPr>
        <w:t>EL TRIBUNAL ACUERDA</w:t>
      </w:r>
    </w:p>
    <w:p w:rsidR="00C25D75" w:rsidRDefault="006361D5" w:rsidP="006361D5">
      <w:pPr>
        <w:spacing w:line="360" w:lineRule="auto"/>
        <w:ind w:left="284" w:hanging="284"/>
        <w:jc w:val="both"/>
      </w:pPr>
      <w:r w:rsidRPr="006361D5">
        <w:rPr>
          <w:b/>
        </w:rPr>
        <w:t>1)</w:t>
      </w:r>
      <w:r>
        <w:t xml:space="preserve"> Cometer a la Contadora Delegada la intervención del gasto correspondiente a los intereses y amortización, previa verificación de su imputación con cargo a rubro adecuado con disponibilidad suficiente; </w:t>
      </w:r>
    </w:p>
    <w:p w:rsidR="00C25D75" w:rsidRDefault="006361D5" w:rsidP="006361D5">
      <w:pPr>
        <w:spacing w:line="360" w:lineRule="auto"/>
        <w:jc w:val="both"/>
      </w:pPr>
      <w:r w:rsidRPr="006361D5">
        <w:rPr>
          <w:b/>
        </w:rPr>
        <w:t>2)</w:t>
      </w:r>
      <w:r>
        <w:t xml:space="preserve"> Comunicar a la Contadora Delegada;  y</w:t>
      </w:r>
    </w:p>
    <w:p w:rsidR="00C25D75" w:rsidRDefault="006361D5" w:rsidP="006361D5">
      <w:pPr>
        <w:spacing w:line="360" w:lineRule="auto"/>
      </w:pPr>
      <w:r w:rsidRPr="006361D5">
        <w:rPr>
          <w:b/>
        </w:rPr>
        <w:t>3)</w:t>
      </w:r>
      <w:r>
        <w:t xml:space="preserve"> Devolver los antecedentes.</w:t>
      </w:r>
    </w:p>
    <w:p w:rsidR="00C25D75" w:rsidRDefault="00C25D75">
      <w:pPr>
        <w:spacing w:line="360" w:lineRule="auto"/>
        <w:jc w:val="right"/>
      </w:pPr>
    </w:p>
    <w:p w:rsidR="006361D5" w:rsidRDefault="006361D5">
      <w:pPr>
        <w:spacing w:line="360" w:lineRule="auto"/>
        <w:jc w:val="right"/>
      </w:pPr>
    </w:p>
    <w:p w:rsidR="006361D5" w:rsidRDefault="006361D5">
      <w:pPr>
        <w:spacing w:line="360" w:lineRule="auto"/>
        <w:jc w:val="right"/>
      </w:pPr>
    </w:p>
    <w:p w:rsidR="006361D5" w:rsidRDefault="006361D5">
      <w:pPr>
        <w:spacing w:line="360" w:lineRule="auto"/>
        <w:jc w:val="right"/>
      </w:pPr>
    </w:p>
    <w:p w:rsidR="006361D5" w:rsidRDefault="006361D5" w:rsidP="006361D5">
      <w:pPr>
        <w:spacing w:line="360" w:lineRule="auto"/>
      </w:pPr>
      <w:proofErr w:type="spellStart"/>
      <w:proofErr w:type="gramStart"/>
      <w:r>
        <w:t>cr</w:t>
      </w:r>
      <w:proofErr w:type="spellEnd"/>
      <w:proofErr w:type="gramEnd"/>
    </w:p>
    <w:sectPr w:rsidR="006361D5" w:rsidSect="00DF5290">
      <w:footerReference w:type="even" r:id="rId8"/>
      <w:footerReference w:type="default" r:id="rId9"/>
      <w:pgSz w:w="11906" w:h="16838" w:code="9"/>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D75" w:rsidRDefault="006361D5">
      <w:r>
        <w:separator/>
      </w:r>
    </w:p>
  </w:endnote>
  <w:endnote w:type="continuationSeparator" w:id="0">
    <w:p w:rsidR="00C25D75" w:rsidRDefault="0063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75" w:rsidRDefault="006361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25D75" w:rsidRDefault="00C25D7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75" w:rsidRDefault="006361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F51D2">
      <w:rPr>
        <w:rStyle w:val="Nmerodepgina"/>
        <w:noProof/>
      </w:rPr>
      <w:t>3</w:t>
    </w:r>
    <w:r>
      <w:rPr>
        <w:rStyle w:val="Nmerodepgina"/>
      </w:rPr>
      <w:fldChar w:fldCharType="end"/>
    </w:r>
  </w:p>
  <w:p w:rsidR="00C25D75" w:rsidRDefault="00C25D7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D75" w:rsidRDefault="006361D5">
      <w:r>
        <w:separator/>
      </w:r>
    </w:p>
  </w:footnote>
  <w:footnote w:type="continuationSeparator" w:id="0">
    <w:p w:rsidR="00C25D75" w:rsidRDefault="00636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33E13"/>
    <w:multiLevelType w:val="hybridMultilevel"/>
    <w:tmpl w:val="F9E8E84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5515474E"/>
    <w:multiLevelType w:val="hybridMultilevel"/>
    <w:tmpl w:val="CA3A90BE"/>
    <w:lvl w:ilvl="0" w:tplc="C96A9B7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C7E101B"/>
    <w:multiLevelType w:val="hybridMultilevel"/>
    <w:tmpl w:val="3FBEA7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290"/>
    <w:rsid w:val="006361D5"/>
    <w:rsid w:val="00B6291A"/>
    <w:rsid w:val="00C25D75"/>
    <w:rsid w:val="00DF5290"/>
    <w:rsid w:val="00EF51D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jc w:val="both"/>
      <w:outlineLvl w:val="0"/>
    </w:pPr>
    <w:rPr>
      <w:b/>
      <w:bCs/>
    </w:rPr>
  </w:style>
  <w:style w:type="paragraph" w:styleId="Ttulo2">
    <w:name w:val="heading 2"/>
    <w:basedOn w:val="Normal"/>
    <w:next w:val="Normal"/>
    <w:qFormat/>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independiente">
    <w:name w:val="Body Text"/>
    <w:basedOn w:val="Normal"/>
    <w:semiHidden/>
    <w:pPr>
      <w:spacing w:line="360" w:lineRule="auto"/>
      <w:jc w:val="both"/>
    </w:p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character" w:customStyle="1" w:styleId="apple-converted-space">
    <w:name w:val="apple-converted-space"/>
    <w:basedOn w:val="Fuentedeprrafopredete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jc w:val="both"/>
      <w:outlineLvl w:val="0"/>
    </w:pPr>
    <w:rPr>
      <w:b/>
      <w:bCs/>
    </w:rPr>
  </w:style>
  <w:style w:type="paragraph" w:styleId="Ttulo2">
    <w:name w:val="heading 2"/>
    <w:basedOn w:val="Normal"/>
    <w:next w:val="Normal"/>
    <w:qFormat/>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independiente">
    <w:name w:val="Body Text"/>
    <w:basedOn w:val="Normal"/>
    <w:semiHidden/>
    <w:pPr>
      <w:spacing w:line="360" w:lineRule="auto"/>
      <w:jc w:val="both"/>
    </w:p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character" w:customStyle="1" w:styleId="apple-converted-space">
    <w:name w:val="apple-converted-space"/>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3753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Carpeta 221014</vt:lpstr>
    </vt:vector>
  </TitlesOfParts>
  <Company>Tribunal de Cuentas de la República</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221014</dc:title>
  <dc:subject/>
  <dc:creator>TRIBUNAL1</dc:creator>
  <cp:keywords/>
  <dc:description/>
  <cp:lastModifiedBy>Miriam Cristina Rivero</cp:lastModifiedBy>
  <cp:revision>2</cp:revision>
  <cp:lastPrinted>2014-02-10T11:05:00Z</cp:lastPrinted>
  <dcterms:created xsi:type="dcterms:W3CDTF">2014-02-10T11:05:00Z</dcterms:created>
  <dcterms:modified xsi:type="dcterms:W3CDTF">2014-02-10T11:05:00Z</dcterms:modified>
</cp:coreProperties>
</file>