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06" w:rsidRDefault="00D50406">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50406" w:rsidRDefault="00D50406">
      <w:pPr>
        <w:tabs>
          <w:tab w:val="left" w:pos="-720"/>
        </w:tabs>
        <w:suppressAutoHyphens/>
        <w:jc w:val="center"/>
        <w:rPr>
          <w:rFonts w:ascii="Helvetica" w:hAnsi="Helvetica"/>
          <w:b/>
          <w:lang w:val="es-ES_tradnl"/>
        </w:rPr>
      </w:pPr>
    </w:p>
    <w:p w:rsidR="00D50406" w:rsidRDefault="00D50406">
      <w:pPr>
        <w:tabs>
          <w:tab w:val="center" w:pos="4253"/>
        </w:tabs>
        <w:suppressAutoHyphens/>
        <w:jc w:val="center"/>
        <w:rPr>
          <w:rFonts w:ascii="Helvetica" w:hAnsi="Helvetica"/>
          <w:b/>
          <w:lang w:val="es-ES_tradnl"/>
        </w:rPr>
      </w:pPr>
      <w:r>
        <w:rPr>
          <w:rFonts w:ascii="Helvetica" w:hAnsi="Helvetica"/>
          <w:b/>
          <w:lang w:val="es-ES_tradnl"/>
        </w:rPr>
        <w:t>TRIBUNAL DE CUENTAS</w:t>
      </w:r>
    </w:p>
    <w:p w:rsidR="00D50406" w:rsidRDefault="00D50406">
      <w:pPr>
        <w:tabs>
          <w:tab w:val="left" w:pos="-720"/>
        </w:tabs>
        <w:suppressAutoHyphens/>
        <w:jc w:val="center"/>
        <w:rPr>
          <w:rFonts w:ascii="Helvetica" w:hAnsi="Helvetica"/>
          <w:b/>
          <w:lang w:val="es-ES_tradnl"/>
        </w:rPr>
      </w:pPr>
    </w:p>
    <w:p w:rsidR="00D50406" w:rsidRDefault="00D50406">
      <w:pPr>
        <w:tabs>
          <w:tab w:val="center" w:pos="4253"/>
        </w:tabs>
        <w:suppressAutoHyphens/>
        <w:jc w:val="center"/>
        <w:rPr>
          <w:rFonts w:ascii="Helvetica" w:hAnsi="Helvetica"/>
          <w:b/>
          <w:lang w:val="es-ES_tradnl"/>
        </w:rPr>
      </w:pPr>
      <w:r>
        <w:rPr>
          <w:rFonts w:ascii="Helvetica" w:hAnsi="Helvetica"/>
          <w:b/>
          <w:lang w:val="es-ES_tradnl"/>
        </w:rPr>
        <w:t>EN SESION DE FECHA  DE 5 DE FEBRERO DE 2014</w:t>
      </w:r>
    </w:p>
    <w:p w:rsidR="00D50406" w:rsidRDefault="00D50406">
      <w:pPr>
        <w:tabs>
          <w:tab w:val="center" w:pos="4253"/>
        </w:tabs>
        <w:suppressAutoHyphens/>
        <w:jc w:val="center"/>
        <w:rPr>
          <w:rFonts w:ascii="Helvetica" w:hAnsi="Helvetica"/>
          <w:b/>
          <w:lang w:val="es-ES_tradnl"/>
        </w:rPr>
      </w:pPr>
    </w:p>
    <w:p w:rsidR="00D50406" w:rsidRPr="00D50406" w:rsidRDefault="00D50406">
      <w:pPr>
        <w:tabs>
          <w:tab w:val="center" w:pos="4253"/>
        </w:tabs>
        <w:suppressAutoHyphens/>
        <w:jc w:val="center"/>
        <w:rPr>
          <w:rFonts w:ascii="Helvetica" w:hAnsi="Helvetica"/>
          <w:b/>
          <w:lang w:val="es-UY"/>
        </w:rPr>
      </w:pPr>
      <w:r w:rsidRPr="00D50406">
        <w:rPr>
          <w:rFonts w:ascii="Helvetica" w:hAnsi="Helvetica"/>
          <w:b/>
          <w:lang w:val="es-UY"/>
        </w:rPr>
        <w:t xml:space="preserve">(E. E. Nº 2013-17-1-0008673, </w:t>
      </w:r>
      <w:proofErr w:type="spellStart"/>
      <w:r w:rsidRPr="00D50406">
        <w:rPr>
          <w:rFonts w:ascii="Helvetica" w:hAnsi="Helvetica"/>
          <w:b/>
          <w:lang w:val="es-UY"/>
        </w:rPr>
        <w:t>Ent</w:t>
      </w:r>
      <w:proofErr w:type="spellEnd"/>
      <w:r w:rsidRPr="00D50406">
        <w:rPr>
          <w:rFonts w:ascii="Helvetica" w:hAnsi="Helvetica"/>
          <w:b/>
          <w:lang w:val="es-UY"/>
        </w:rPr>
        <w:t>. N° 7370/13.)</w:t>
      </w:r>
    </w:p>
    <w:p w:rsidR="00D50406" w:rsidRPr="00D50406" w:rsidRDefault="00D50406">
      <w:pPr>
        <w:tabs>
          <w:tab w:val="center" w:pos="4253"/>
        </w:tabs>
        <w:suppressAutoHyphens/>
        <w:jc w:val="center"/>
        <w:rPr>
          <w:spacing w:val="-3"/>
          <w:lang w:val="es-UY"/>
        </w:rPr>
      </w:pPr>
    </w:p>
    <w:p w:rsidR="00D50406" w:rsidRDefault="00D50406">
      <w:pPr>
        <w:tabs>
          <w:tab w:val="center" w:pos="4253"/>
        </w:tabs>
        <w:suppressAutoHyphens/>
        <w:rPr>
          <w:spacing w:val="-3"/>
          <w:lang w:val="es-UY"/>
        </w:rPr>
      </w:pPr>
    </w:p>
    <w:p w:rsidR="008875ED" w:rsidRPr="00D50406" w:rsidRDefault="008875ED">
      <w:pPr>
        <w:tabs>
          <w:tab w:val="center" w:pos="4253"/>
        </w:tabs>
        <w:suppressAutoHyphens/>
        <w:rPr>
          <w:spacing w:val="-3"/>
          <w:lang w:val="es-UY"/>
        </w:rPr>
      </w:pPr>
    </w:p>
    <w:p w:rsidR="00337C69" w:rsidRDefault="00337C69" w:rsidP="00D50406">
      <w:pPr>
        <w:spacing w:line="360" w:lineRule="auto"/>
        <w:ind w:firstLine="708"/>
        <w:jc w:val="both"/>
      </w:pPr>
      <w:r>
        <w:rPr>
          <w:b/>
        </w:rPr>
        <w:t>VISTO</w:t>
      </w:r>
      <w:r>
        <w:t xml:space="preserve">: las actuaciones remitidas por la Administración  Nacional de </w:t>
      </w:r>
      <w:r w:rsidRPr="00D50406">
        <w:rPr>
          <w:spacing w:val="12"/>
        </w:rPr>
        <w:t>Usinas y Trasmisiones Eléctricas relacionadas con la Licitación Pública: P</w:t>
      </w:r>
      <w:r>
        <w:t xml:space="preserve"> 44049  convocada para el complemento de proyecto y ejecución de oficinas para asiento de la gerencia y ejecución  de oficinas para asiento </w:t>
      </w:r>
      <w:proofErr w:type="gramStart"/>
      <w:r>
        <w:t xml:space="preserve">de la gerencias  Sector </w:t>
      </w:r>
      <w:proofErr w:type="gramEnd"/>
      <w:r>
        <w:t xml:space="preserve"> Norte.</w:t>
      </w:r>
    </w:p>
    <w:p w:rsidR="00337C69" w:rsidRPr="00D50406" w:rsidRDefault="00337C69" w:rsidP="00D50406">
      <w:pPr>
        <w:spacing w:line="360" w:lineRule="auto"/>
        <w:ind w:firstLine="708"/>
        <w:jc w:val="both"/>
        <w:rPr>
          <w:iCs/>
        </w:rPr>
      </w:pPr>
      <w:r w:rsidRPr="00D50406">
        <w:rPr>
          <w:b/>
          <w:iCs/>
        </w:rPr>
        <w:t>RESULTANDO: 1</w:t>
      </w:r>
      <w:r w:rsidRPr="00D50406">
        <w:rPr>
          <w:rFonts w:cs="Arial"/>
          <w:b/>
          <w:iCs/>
        </w:rPr>
        <w:t xml:space="preserve">) </w:t>
      </w:r>
      <w:r w:rsidRPr="00D50406">
        <w:rPr>
          <w:rFonts w:cs="Arial"/>
          <w:iCs/>
        </w:rPr>
        <w:t>que se efectuó la publicación del llamado en la página web de compras estatales el 24.9.12 y en el  Diario Oficial el 25.9.12 fijándose la apertura de ofertas para el 22.10.12, con antelación suficiente;</w:t>
      </w:r>
    </w:p>
    <w:p w:rsidR="00337C69" w:rsidRDefault="00D50406" w:rsidP="00D50406">
      <w:pPr>
        <w:spacing w:line="360" w:lineRule="auto"/>
        <w:ind w:firstLine="2552"/>
        <w:jc w:val="both"/>
        <w:rPr>
          <w:rFonts w:cs="Arial"/>
          <w:bCs/>
          <w:szCs w:val="24"/>
          <w:lang w:val="es-MX"/>
        </w:rPr>
      </w:pPr>
      <w:r>
        <w:rPr>
          <w:b/>
          <w:iCs/>
        </w:rPr>
        <w:t xml:space="preserve"> </w:t>
      </w:r>
      <w:r w:rsidR="00337C69" w:rsidRPr="00D50406">
        <w:rPr>
          <w:b/>
          <w:iCs/>
        </w:rPr>
        <w:t>2)</w:t>
      </w:r>
      <w:r w:rsidR="00337C69" w:rsidRPr="00D50406">
        <w:rPr>
          <w:iCs/>
        </w:rPr>
        <w:t xml:space="preserve"> que luego de disponer prórrogas de fecha de apertura, el</w:t>
      </w:r>
      <w:r w:rsidR="00337C69">
        <w:rPr>
          <w:iCs/>
        </w:rPr>
        <w:t xml:space="preserve"> acto de apertura de ofertas se celebró el 1.11.12, presentándose cinco  propuestas por parte de las firmas</w:t>
      </w:r>
      <w:r w:rsidR="00337C69">
        <w:rPr>
          <w:i/>
          <w:iCs/>
        </w:rPr>
        <w:t xml:space="preserve"> </w:t>
      </w:r>
      <w:r w:rsidR="00337C69">
        <w:rPr>
          <w:rFonts w:cs="Arial"/>
          <w:bCs/>
          <w:szCs w:val="24"/>
          <w:lang w:val="es-MX"/>
        </w:rPr>
        <w:t>COMPAÑÍA ELECTROTECNICA INDUSTRIAL SRL (CEI SRL), JOSE CUJO SA, GOFINAL SA,  PERFORACIONES DEL LITORAL SA, y  MONTELECNOR SA;</w:t>
      </w:r>
    </w:p>
    <w:p w:rsidR="00337C69" w:rsidRDefault="00D50406" w:rsidP="00D50406">
      <w:pPr>
        <w:spacing w:line="360" w:lineRule="auto"/>
        <w:ind w:firstLine="2552"/>
        <w:jc w:val="both"/>
        <w:rPr>
          <w:szCs w:val="24"/>
          <w:lang w:val="es-MX"/>
        </w:rPr>
      </w:pPr>
      <w:r>
        <w:rPr>
          <w:rFonts w:cs="Arial"/>
          <w:b/>
          <w:bCs/>
          <w:szCs w:val="24"/>
          <w:lang w:val="es-MX"/>
        </w:rPr>
        <w:t xml:space="preserve"> </w:t>
      </w:r>
      <w:r w:rsidR="00337C69">
        <w:rPr>
          <w:rFonts w:cs="Arial"/>
          <w:b/>
          <w:bCs/>
          <w:szCs w:val="24"/>
          <w:lang w:val="es-MX"/>
        </w:rPr>
        <w:t xml:space="preserve">3) </w:t>
      </w:r>
      <w:r w:rsidR="00337C69">
        <w:rPr>
          <w:iCs/>
          <w:szCs w:val="24"/>
        </w:rPr>
        <w:t>que la Comisión Asesora emitió su dictamen el 8.7.13</w:t>
      </w:r>
      <w:r w:rsidR="00337C69">
        <w:rPr>
          <w:szCs w:val="24"/>
          <w:lang w:val="es-MX"/>
        </w:rPr>
        <w:t>, proponiendo:</w:t>
      </w:r>
    </w:p>
    <w:p w:rsidR="00337C69" w:rsidRDefault="00337C69">
      <w:pPr>
        <w:spacing w:line="360" w:lineRule="auto"/>
        <w:jc w:val="both"/>
        <w:rPr>
          <w:szCs w:val="24"/>
        </w:rPr>
      </w:pPr>
      <w:r>
        <w:rPr>
          <w:rFonts w:cs="Arial"/>
          <w:b/>
          <w:bCs/>
          <w:szCs w:val="24"/>
          <w:lang w:val="es-MX"/>
        </w:rPr>
        <w:t>3.1</w:t>
      </w:r>
      <w:r w:rsidR="00D50406">
        <w:rPr>
          <w:rFonts w:cs="Arial"/>
          <w:b/>
          <w:bCs/>
          <w:szCs w:val="24"/>
          <w:lang w:val="es-MX"/>
        </w:rPr>
        <w:t xml:space="preserve">) </w:t>
      </w:r>
      <w:r>
        <w:rPr>
          <w:rFonts w:cs="Arial"/>
          <w:bCs/>
          <w:szCs w:val="24"/>
          <w:lang w:val="es-MX"/>
        </w:rPr>
        <w:t>rechazar las ofertas de :I)</w:t>
      </w:r>
      <w:r w:rsidR="00D50406">
        <w:rPr>
          <w:rFonts w:cs="Arial"/>
          <w:bCs/>
          <w:szCs w:val="24"/>
          <w:lang w:val="es-MX"/>
        </w:rPr>
        <w:t xml:space="preserve"> </w:t>
      </w:r>
      <w:proofErr w:type="spellStart"/>
      <w:r>
        <w:rPr>
          <w:rFonts w:cs="Arial"/>
          <w:bCs/>
          <w:szCs w:val="24"/>
          <w:lang w:val="es-MX"/>
        </w:rPr>
        <w:t>Cei</w:t>
      </w:r>
      <w:proofErr w:type="spellEnd"/>
      <w:r>
        <w:rPr>
          <w:rFonts w:cs="Arial"/>
          <w:bCs/>
          <w:szCs w:val="24"/>
          <w:lang w:val="es-MX"/>
        </w:rPr>
        <w:t xml:space="preserve"> SRL(</w:t>
      </w:r>
      <w:r>
        <w:rPr>
          <w:szCs w:val="24"/>
        </w:rPr>
        <w:t xml:space="preserve"> ubicada en el primer lugar en el orden creciente de precios), por no presentar los anteproyectos completos d</w:t>
      </w:r>
      <w:r w:rsidR="008875ED">
        <w:rPr>
          <w:szCs w:val="24"/>
        </w:rPr>
        <w:t>e     estructura, incendio, pane</w:t>
      </w:r>
      <w:r>
        <w:rPr>
          <w:szCs w:val="24"/>
        </w:rPr>
        <w:t>les solares, instalación eléctrica, datos y telefonía, se le solicitó información complementaria no recibiendo respuesta  por lo que no se puede evaluar la oferta .II)</w:t>
      </w:r>
      <w:r>
        <w:rPr>
          <w:b/>
          <w:szCs w:val="24"/>
        </w:rPr>
        <w:t xml:space="preserve">  </w:t>
      </w:r>
      <w:r>
        <w:rPr>
          <w:szCs w:val="24"/>
        </w:rPr>
        <w:t xml:space="preserve">Perforaciones del Litoral </w:t>
      </w:r>
      <w:proofErr w:type="spellStart"/>
      <w:r>
        <w:rPr>
          <w:szCs w:val="24"/>
        </w:rPr>
        <w:t>Ltda</w:t>
      </w:r>
      <w:proofErr w:type="spellEnd"/>
      <w:r>
        <w:rPr>
          <w:szCs w:val="24"/>
        </w:rPr>
        <w:t>,</w:t>
      </w:r>
      <w:r w:rsidR="00D50406">
        <w:rPr>
          <w:szCs w:val="24"/>
        </w:rPr>
        <w:t xml:space="preserve"> </w:t>
      </w:r>
      <w:r>
        <w:rPr>
          <w:szCs w:val="24"/>
        </w:rPr>
        <w:t xml:space="preserve">(en segundo lugar en el orden creciente de precios) porque no se incluyo en el proyecto de estructura presentado la de los  techos de un sector del edificio contra la </w:t>
      </w:r>
      <w:r>
        <w:rPr>
          <w:szCs w:val="24"/>
        </w:rPr>
        <w:lastRenderedPageBreak/>
        <w:t>fachada  principal, y la estructura para las obras a realizar en los locales exteriores al edificio  principal, la ubicación de las unidades exteriores de los equipos de aire acondicionado no cumple con lo solicitado por el pliego de condiciones, en el anteproyecto de estructura sobre Planta Baja  no indica refuerzos en la estructura existente en la zona donde se mantiene la losa de techo y se realizan demoliciones de paredes.</w:t>
      </w:r>
    </w:p>
    <w:p w:rsidR="00337C69" w:rsidRDefault="00337C69">
      <w:pPr>
        <w:pStyle w:val="Textoindependiente2"/>
      </w:pPr>
      <w:r>
        <w:t xml:space="preserve">III) </w:t>
      </w:r>
      <w:proofErr w:type="spellStart"/>
      <w:r>
        <w:t>Montelecnor</w:t>
      </w:r>
      <w:proofErr w:type="spellEnd"/>
      <w:r>
        <w:t xml:space="preserve"> SA, ( la tercera  en el orden creciente de precios): porque  en el anteproyecto  de estructura  en el plano  sobre planta baja no se incluyo la estructura para la construcción  de  los locales 8,13,14,18, 24,25 y 26; no se incluyó la estructura para las obras a realizar en los locales exteriores al edificio y  la ubicación de las unidades exteriores de los equipos de aire acondicionado no cumple con lo solicitado y  </w:t>
      </w:r>
    </w:p>
    <w:p w:rsidR="00337C69" w:rsidRDefault="00337C69">
      <w:pPr>
        <w:spacing w:line="360" w:lineRule="auto"/>
        <w:jc w:val="both"/>
        <w:rPr>
          <w:rFonts w:cs="Arial"/>
          <w:bCs/>
          <w:szCs w:val="24"/>
          <w:lang w:val="es-UY"/>
        </w:rPr>
      </w:pPr>
      <w:r w:rsidRPr="00D50406">
        <w:rPr>
          <w:b/>
          <w:bCs/>
          <w:szCs w:val="24"/>
        </w:rPr>
        <w:t>3.2)</w:t>
      </w:r>
      <w:r w:rsidR="00D50406">
        <w:rPr>
          <w:bCs/>
          <w:szCs w:val="24"/>
        </w:rPr>
        <w:t xml:space="preserve"> </w:t>
      </w:r>
      <w:r>
        <w:rPr>
          <w:bCs/>
          <w:szCs w:val="24"/>
        </w:rPr>
        <w:t>adjudicar</w:t>
      </w:r>
      <w:r>
        <w:rPr>
          <w:szCs w:val="24"/>
        </w:rPr>
        <w:t xml:space="preserve"> a </w:t>
      </w:r>
      <w:r w:rsidR="00D6173A">
        <w:rPr>
          <w:szCs w:val="24"/>
        </w:rPr>
        <w:t xml:space="preserve">José </w:t>
      </w:r>
      <w:proofErr w:type="spellStart"/>
      <w:r w:rsidR="00D6173A">
        <w:rPr>
          <w:szCs w:val="24"/>
        </w:rPr>
        <w:t>Cujo</w:t>
      </w:r>
      <w:proofErr w:type="spellEnd"/>
      <w:r>
        <w:rPr>
          <w:szCs w:val="24"/>
        </w:rPr>
        <w:t xml:space="preserve"> SA  (ubicada en el cuarto lugar),  porque su oferta  es válida técnicamente  y se ajusta sustancialmente  a los requerimientos del Pliego, </w:t>
      </w:r>
      <w:r>
        <w:rPr>
          <w:szCs w:val="24"/>
          <w:lang w:val="es-UY"/>
        </w:rPr>
        <w:t xml:space="preserve"> </w:t>
      </w:r>
    </w:p>
    <w:p w:rsidR="00337C69" w:rsidRDefault="00D6173A" w:rsidP="00D6173A">
      <w:pPr>
        <w:spacing w:line="360" w:lineRule="auto"/>
        <w:ind w:firstLine="2552"/>
        <w:jc w:val="both"/>
        <w:rPr>
          <w:szCs w:val="24"/>
        </w:rPr>
      </w:pPr>
      <w:r>
        <w:rPr>
          <w:b/>
          <w:bCs/>
          <w:szCs w:val="24"/>
        </w:rPr>
        <w:t xml:space="preserve"> </w:t>
      </w:r>
      <w:r w:rsidR="00337C69" w:rsidRPr="00D6173A">
        <w:rPr>
          <w:b/>
          <w:bCs/>
          <w:szCs w:val="24"/>
        </w:rPr>
        <w:t>4)</w:t>
      </w:r>
      <w:r w:rsidR="00337C69">
        <w:rPr>
          <w:bCs/>
          <w:szCs w:val="24"/>
        </w:rPr>
        <w:t xml:space="preserve"> </w:t>
      </w:r>
      <w:r w:rsidR="00337C69">
        <w:rPr>
          <w:bCs/>
        </w:rPr>
        <w:t xml:space="preserve">que  por Resolución </w:t>
      </w:r>
      <w:r w:rsidR="00337C69">
        <w:rPr>
          <w:bCs/>
          <w:szCs w:val="24"/>
        </w:rPr>
        <w:t>N° 13-1935 de fecha 5.12.13,  el Directorio, dispuso  adjudicar ,ad referéndum  de la intervención preventiva  del T</w:t>
      </w:r>
      <w:r>
        <w:rPr>
          <w:bCs/>
          <w:szCs w:val="24"/>
        </w:rPr>
        <w:t>ribunal</w:t>
      </w:r>
      <w:r w:rsidR="00337C69">
        <w:rPr>
          <w:bCs/>
          <w:szCs w:val="24"/>
        </w:rPr>
        <w:t xml:space="preserve"> de Cuentas, a José </w:t>
      </w:r>
      <w:proofErr w:type="spellStart"/>
      <w:r w:rsidR="00337C69">
        <w:rPr>
          <w:bCs/>
          <w:szCs w:val="24"/>
        </w:rPr>
        <w:t>Cujo</w:t>
      </w:r>
      <w:proofErr w:type="spellEnd"/>
      <w:r w:rsidR="00337C69">
        <w:rPr>
          <w:bCs/>
          <w:szCs w:val="24"/>
        </w:rPr>
        <w:t xml:space="preserve"> SA, por un total de</w:t>
      </w:r>
      <w:r w:rsidR="00337C69">
        <w:rPr>
          <w:b/>
          <w:bCs/>
          <w:szCs w:val="24"/>
        </w:rPr>
        <w:t xml:space="preserve"> </w:t>
      </w:r>
      <w:r w:rsidR="00337C69">
        <w:rPr>
          <w:szCs w:val="24"/>
        </w:rPr>
        <w:t>$ 118.701.077,54 (incluidos impuestos, cargas sociales, y ajustes)</w:t>
      </w:r>
    </w:p>
    <w:p w:rsidR="00337C69" w:rsidRDefault="00D6173A" w:rsidP="00D6173A">
      <w:pPr>
        <w:pStyle w:val="Ttulo1"/>
        <w:ind w:firstLine="2552"/>
      </w:pPr>
      <w:r>
        <w:rPr>
          <w:lang w:val="es-ES"/>
        </w:rPr>
        <w:t xml:space="preserve"> </w:t>
      </w:r>
      <w:r w:rsidR="00337C69" w:rsidRPr="00D6173A">
        <w:rPr>
          <w:lang w:val="es-UY"/>
        </w:rPr>
        <w:t>5)</w:t>
      </w:r>
      <w:r w:rsidR="00337C69">
        <w:rPr>
          <w:b w:val="0"/>
          <w:lang w:val="es-UY"/>
        </w:rPr>
        <w:t xml:space="preserve"> </w:t>
      </w:r>
      <w:r w:rsidR="00337C69">
        <w:rPr>
          <w:b w:val="0"/>
          <w:bCs/>
          <w:lang w:val="es-UY"/>
        </w:rPr>
        <w:t xml:space="preserve">que  con fecha </w:t>
      </w:r>
      <w:r w:rsidR="00337C69">
        <w:rPr>
          <w:b w:val="0"/>
          <w:bCs/>
        </w:rPr>
        <w:t xml:space="preserve">10.7.13 se informa que  el Grupo 3 </w:t>
      </w:r>
      <w:r w:rsidR="00337C69" w:rsidRPr="00D6173A">
        <w:rPr>
          <w:b w:val="0"/>
          <w:bCs/>
          <w:spacing w:val="12"/>
        </w:rPr>
        <w:t>ha sido imputado sin disponibilidad presupuestal suficiente el monto de $</w:t>
      </w:r>
      <w:r w:rsidR="00337C69">
        <w:rPr>
          <w:b w:val="0"/>
          <w:bCs/>
        </w:rPr>
        <w:t xml:space="preserve"> 3.501.124,40  para comprometer en el Ejercicio 2013 y que se ha imputado sin disponibilidad  presupuestal suficiente el monto de $ 96.223.758,17 en el </w:t>
      </w:r>
      <w:r>
        <w:rPr>
          <w:b w:val="0"/>
          <w:bCs/>
        </w:rPr>
        <w:t>E</w:t>
      </w:r>
      <w:r w:rsidR="00337C69">
        <w:rPr>
          <w:b w:val="0"/>
          <w:bCs/>
        </w:rPr>
        <w:t xml:space="preserve">jercicio 2013 para incorporar en el </w:t>
      </w:r>
      <w:r>
        <w:rPr>
          <w:b w:val="0"/>
          <w:bCs/>
        </w:rPr>
        <w:t>E</w:t>
      </w:r>
      <w:r w:rsidR="00337C69">
        <w:rPr>
          <w:b w:val="0"/>
          <w:bCs/>
        </w:rPr>
        <w:t>jercicio 2014;</w:t>
      </w:r>
      <w:r w:rsidR="00337C69">
        <w:t xml:space="preserve"> </w:t>
      </w:r>
    </w:p>
    <w:p w:rsidR="008875ED" w:rsidRDefault="00337C69" w:rsidP="00D6173A">
      <w:pPr>
        <w:spacing w:line="360" w:lineRule="auto"/>
        <w:ind w:firstLine="708"/>
        <w:jc w:val="both"/>
        <w:rPr>
          <w:rFonts w:cs="Arial"/>
          <w:bCs/>
          <w:szCs w:val="24"/>
          <w:lang w:val="es-MX"/>
        </w:rPr>
      </w:pPr>
      <w:r>
        <w:rPr>
          <w:rFonts w:cs="Arial"/>
          <w:b/>
          <w:bCs/>
          <w:lang w:val="es-MX"/>
        </w:rPr>
        <w:t xml:space="preserve">CONSIDERANDO:1)  </w:t>
      </w:r>
      <w:r>
        <w:rPr>
          <w:rFonts w:cs="Arial"/>
          <w:bCs/>
          <w:lang w:val="es-MX"/>
        </w:rPr>
        <w:t xml:space="preserve">que el </w:t>
      </w:r>
      <w:r w:rsidR="00D6173A">
        <w:rPr>
          <w:rFonts w:cs="Arial"/>
          <w:bCs/>
          <w:lang w:val="es-MX"/>
        </w:rPr>
        <w:t>A</w:t>
      </w:r>
      <w:r>
        <w:rPr>
          <w:rFonts w:cs="Arial"/>
          <w:bCs/>
          <w:szCs w:val="24"/>
          <w:lang w:val="es-MX"/>
        </w:rPr>
        <w:t>rt</w:t>
      </w:r>
      <w:r w:rsidR="00D6173A">
        <w:rPr>
          <w:rFonts w:cs="Arial"/>
          <w:bCs/>
          <w:szCs w:val="24"/>
          <w:lang w:val="es-MX"/>
        </w:rPr>
        <w:t>ículo</w:t>
      </w:r>
      <w:r>
        <w:rPr>
          <w:rFonts w:cs="Arial"/>
          <w:bCs/>
          <w:szCs w:val="24"/>
          <w:lang w:val="es-MX"/>
        </w:rPr>
        <w:t xml:space="preserve"> 10.2  </w:t>
      </w:r>
      <w:r>
        <w:rPr>
          <w:rFonts w:cs="Arial"/>
          <w:bCs/>
          <w:lang w:val="es-MX"/>
        </w:rPr>
        <w:t xml:space="preserve">del Pliego de Condiciones Particular: Condiciones de Rechazo de las Ofertas: establece que UTE se reserva el derecho de rechazar las ofertas entre otros casos, cuando:” </w:t>
      </w:r>
      <w:r>
        <w:rPr>
          <w:rFonts w:cs="Arial"/>
          <w:bCs/>
          <w:szCs w:val="24"/>
          <w:lang w:val="es-MX"/>
        </w:rPr>
        <w:t xml:space="preserve">a) no </w:t>
      </w:r>
    </w:p>
    <w:p w:rsidR="008875ED" w:rsidRDefault="008875ED" w:rsidP="00D6173A">
      <w:pPr>
        <w:spacing w:line="360" w:lineRule="auto"/>
        <w:ind w:firstLine="708"/>
        <w:jc w:val="both"/>
        <w:rPr>
          <w:rFonts w:cs="Arial"/>
          <w:bCs/>
          <w:szCs w:val="24"/>
          <w:lang w:val="es-MX"/>
        </w:rPr>
      </w:pPr>
    </w:p>
    <w:p w:rsidR="00337C69" w:rsidRDefault="00337C69" w:rsidP="008875ED">
      <w:pPr>
        <w:spacing w:line="360" w:lineRule="auto"/>
        <w:jc w:val="both"/>
        <w:rPr>
          <w:rFonts w:cs="Arial"/>
          <w:szCs w:val="24"/>
        </w:rPr>
      </w:pPr>
      <w:r>
        <w:rPr>
          <w:rFonts w:cs="Arial"/>
          <w:bCs/>
          <w:szCs w:val="24"/>
          <w:lang w:val="es-MX"/>
        </w:rPr>
        <w:lastRenderedPageBreak/>
        <w:t xml:space="preserve">cumplan totalmente con los requerimientos especificados para la consecución  del objeto de las presentes especificaciones b)  el oferente  no suministre de manera suficiente la documentación requerida en el pliego,… d) los plazos de ejecución  de las obras, mayores de los establecidos en los documentos de la licitación e) falte de acreditación de la experiencia exigida en el Pliego, f) el oferente cotice  porcentajes de incidencia de mano de obra que no estén comprendidos dentro de los valores máximos ni mínimos indicados por </w:t>
      </w:r>
      <w:r>
        <w:rPr>
          <w:rFonts w:cs="Arial"/>
          <w:szCs w:val="24"/>
        </w:rPr>
        <w:t>Administración Nacional de Usinas y Trasmisiones Eléctricas;</w:t>
      </w:r>
    </w:p>
    <w:p w:rsidR="00337C69" w:rsidRDefault="00337C69" w:rsidP="00D6173A">
      <w:pPr>
        <w:spacing w:line="360" w:lineRule="auto"/>
        <w:ind w:firstLine="2835"/>
        <w:jc w:val="both"/>
        <w:rPr>
          <w:rFonts w:cs="Arial"/>
          <w:bCs/>
          <w:lang w:val="es-MX"/>
        </w:rPr>
      </w:pPr>
      <w:r>
        <w:rPr>
          <w:rFonts w:cs="Arial"/>
          <w:b/>
          <w:bCs/>
          <w:lang w:val="es-MX"/>
        </w:rPr>
        <w:t xml:space="preserve">2) </w:t>
      </w:r>
      <w:r>
        <w:rPr>
          <w:rFonts w:cs="Arial"/>
          <w:bCs/>
          <w:lang w:val="es-MX"/>
        </w:rPr>
        <w:t xml:space="preserve"> que los apartamientos previstos en el </w:t>
      </w:r>
      <w:r w:rsidR="00D6173A">
        <w:rPr>
          <w:rFonts w:cs="Arial"/>
          <w:bCs/>
          <w:lang w:val="es-MX"/>
        </w:rPr>
        <w:t>A</w:t>
      </w:r>
      <w:r>
        <w:rPr>
          <w:rFonts w:cs="Arial"/>
          <w:bCs/>
          <w:lang w:val="es-MX"/>
        </w:rPr>
        <w:t>rt</w:t>
      </w:r>
      <w:r w:rsidR="00D6173A">
        <w:rPr>
          <w:rFonts w:cs="Arial"/>
          <w:bCs/>
          <w:lang w:val="es-MX"/>
        </w:rPr>
        <w:t>ículo</w:t>
      </w:r>
      <w:r>
        <w:rPr>
          <w:rFonts w:cs="Arial"/>
          <w:bCs/>
          <w:lang w:val="es-MX"/>
        </w:rPr>
        <w:t xml:space="preserve"> 10.2 referidos en el considerando anterior son de carácter  sustancial,  y por ello  en el caso de que se constaten  los mismos en las ofertas que los contengan deben ser rechazadas o descartadas, no pudiendo quedar librado a la voluntad de la Administración  el aceptarlas o  rechazarlas. No obstante, siendo que no surge de las actuaciones que el referido artículo haya sido  aplicado en este caso, no incidiendo por ello en el resultado de la contratación, no se vulneró ninguno de los principios que rigen la contratación administrativa, consagrados en el </w:t>
      </w:r>
      <w:r w:rsidR="00D6173A">
        <w:rPr>
          <w:rFonts w:cs="Arial"/>
          <w:bCs/>
          <w:lang w:val="es-MX"/>
        </w:rPr>
        <w:t>A</w:t>
      </w:r>
      <w:r>
        <w:rPr>
          <w:rFonts w:cs="Arial"/>
          <w:bCs/>
          <w:lang w:val="es-MX"/>
        </w:rPr>
        <w:t>rt</w:t>
      </w:r>
      <w:r w:rsidR="00D6173A">
        <w:rPr>
          <w:rFonts w:cs="Arial"/>
          <w:bCs/>
          <w:lang w:val="es-MX"/>
        </w:rPr>
        <w:t>ículo</w:t>
      </w:r>
      <w:r>
        <w:rPr>
          <w:rFonts w:cs="Arial"/>
          <w:bCs/>
          <w:lang w:val="es-MX"/>
        </w:rPr>
        <w:t xml:space="preserve"> 149 del TOCAF;</w:t>
      </w:r>
    </w:p>
    <w:p w:rsidR="00337C69" w:rsidRDefault="00337C69" w:rsidP="00D6173A">
      <w:pPr>
        <w:spacing w:line="360" w:lineRule="auto"/>
        <w:ind w:firstLine="2835"/>
        <w:jc w:val="both"/>
      </w:pPr>
      <w:r w:rsidRPr="002E23C9">
        <w:rPr>
          <w:b/>
        </w:rPr>
        <w:t>3)</w:t>
      </w:r>
      <w:r>
        <w:t xml:space="preserve">  que no </w:t>
      </w:r>
      <w:proofErr w:type="gramStart"/>
      <w:r>
        <w:t>obstante ,se</w:t>
      </w:r>
      <w:proofErr w:type="gramEnd"/>
      <w:r>
        <w:t xml:space="preserve"> contravino  lo establecido en el </w:t>
      </w:r>
      <w:r w:rsidR="00D6173A">
        <w:t>A</w:t>
      </w:r>
      <w:r>
        <w:t>rt</w:t>
      </w:r>
      <w:r w:rsidR="00D6173A">
        <w:t>ículo</w:t>
      </w:r>
      <w:r>
        <w:t xml:space="preserve"> 15 </w:t>
      </w:r>
      <w:r w:rsidR="00D6173A">
        <w:t>TOCAF</w:t>
      </w:r>
      <w:r>
        <w:t xml:space="preserve">, al haber comprometido un gasto sin que exista crédito presupuestal disponible en el rubro de imputación; </w:t>
      </w:r>
    </w:p>
    <w:p w:rsidR="00337C69" w:rsidRDefault="00337C69" w:rsidP="00D6173A">
      <w:pPr>
        <w:spacing w:line="360" w:lineRule="auto"/>
        <w:ind w:firstLine="2835"/>
        <w:jc w:val="both"/>
      </w:pPr>
      <w:r>
        <w:rPr>
          <w:b/>
        </w:rPr>
        <w:t>4)</w:t>
      </w:r>
      <w:r>
        <w:t xml:space="preserve"> que el gasto proyectado se ejecutará en el </w:t>
      </w:r>
      <w:r w:rsidR="00D6173A">
        <w:t>E</w:t>
      </w:r>
      <w:r>
        <w:t>jercicio 2014 con cargo a créditos correspondientes al mismo;</w:t>
      </w:r>
    </w:p>
    <w:p w:rsidR="00337C69" w:rsidRDefault="00337C69" w:rsidP="00D6173A">
      <w:pPr>
        <w:spacing w:line="360" w:lineRule="auto"/>
        <w:ind w:firstLine="708"/>
        <w:jc w:val="both"/>
        <w:rPr>
          <w:bCs/>
        </w:rPr>
      </w:pPr>
      <w:r>
        <w:rPr>
          <w:b/>
        </w:rPr>
        <w:t xml:space="preserve">ATENTO: </w:t>
      </w:r>
      <w:r>
        <w:rPr>
          <w:bCs/>
        </w:rPr>
        <w:t>a lo precedentemente expuesto, y a lo dispuesto por el Art</w:t>
      </w:r>
      <w:r w:rsidR="00D6173A">
        <w:rPr>
          <w:bCs/>
        </w:rPr>
        <w:t>ículo</w:t>
      </w:r>
      <w:r>
        <w:rPr>
          <w:bCs/>
        </w:rPr>
        <w:t xml:space="preserve"> 211 Lit</w:t>
      </w:r>
      <w:r w:rsidR="00D6173A">
        <w:rPr>
          <w:bCs/>
        </w:rPr>
        <w:t>eral</w:t>
      </w:r>
      <w:r>
        <w:rPr>
          <w:bCs/>
        </w:rPr>
        <w:t xml:space="preserve"> B) de la Constitución de la República;</w:t>
      </w:r>
    </w:p>
    <w:p w:rsidR="00337C69" w:rsidRDefault="00337C69">
      <w:pPr>
        <w:keepNext/>
        <w:spacing w:line="360" w:lineRule="auto"/>
        <w:jc w:val="center"/>
        <w:outlineLvl w:val="2"/>
        <w:rPr>
          <w:rFonts w:cs="Arial"/>
          <w:b/>
          <w:bCs/>
          <w:szCs w:val="24"/>
          <w:lang w:val="es-MX"/>
        </w:rPr>
      </w:pPr>
      <w:r>
        <w:rPr>
          <w:rFonts w:cs="Arial"/>
          <w:b/>
          <w:bCs/>
          <w:szCs w:val="24"/>
          <w:lang w:val="es-MX"/>
        </w:rPr>
        <w:t xml:space="preserve">EL TRIBUNAL </w:t>
      </w:r>
      <w:r w:rsidR="00BA6DF7">
        <w:rPr>
          <w:rFonts w:cs="Arial"/>
          <w:b/>
          <w:bCs/>
          <w:szCs w:val="24"/>
          <w:lang w:val="es-MX"/>
        </w:rPr>
        <w:t xml:space="preserve">POR MAYORIA </w:t>
      </w:r>
      <w:r>
        <w:rPr>
          <w:rFonts w:cs="Arial"/>
          <w:b/>
          <w:bCs/>
          <w:szCs w:val="24"/>
          <w:lang w:val="es-MX"/>
        </w:rPr>
        <w:t>ACUERDA</w:t>
      </w:r>
    </w:p>
    <w:p w:rsidR="00337C69" w:rsidRDefault="00D6173A" w:rsidP="00D6173A">
      <w:pPr>
        <w:spacing w:line="360" w:lineRule="auto"/>
        <w:jc w:val="both"/>
        <w:rPr>
          <w:bCs/>
          <w:lang w:val="es-MX"/>
        </w:rPr>
      </w:pPr>
      <w:r w:rsidRPr="00D6173A">
        <w:rPr>
          <w:b/>
          <w:bCs/>
          <w:lang w:val="es-MX"/>
        </w:rPr>
        <w:t>1)</w:t>
      </w:r>
      <w:r>
        <w:rPr>
          <w:bCs/>
          <w:lang w:val="es-MX"/>
        </w:rPr>
        <w:t xml:space="preserve"> </w:t>
      </w:r>
      <w:r w:rsidR="00337C69">
        <w:rPr>
          <w:bCs/>
          <w:lang w:val="es-MX"/>
        </w:rPr>
        <w:t>Observar el gasto por lo expresado en el Considerando 3);</w:t>
      </w:r>
    </w:p>
    <w:p w:rsidR="002E23C9" w:rsidRPr="00581121" w:rsidRDefault="00D6173A" w:rsidP="00D6173A">
      <w:pPr>
        <w:spacing w:line="360" w:lineRule="auto"/>
        <w:ind w:left="284" w:hanging="284"/>
        <w:jc w:val="both"/>
        <w:rPr>
          <w:lang w:val="es-MX"/>
        </w:rPr>
      </w:pPr>
      <w:r w:rsidRPr="00D6173A">
        <w:rPr>
          <w:rFonts w:cs="Arial"/>
          <w:b/>
          <w:bCs/>
          <w:lang w:val="es-MX"/>
        </w:rPr>
        <w:t>2)</w:t>
      </w:r>
      <w:r>
        <w:rPr>
          <w:rFonts w:cs="Arial"/>
          <w:bCs/>
          <w:lang w:val="es-MX"/>
        </w:rPr>
        <w:t xml:space="preserve"> </w:t>
      </w:r>
      <w:r w:rsidR="002E23C9" w:rsidRPr="00E12517">
        <w:rPr>
          <w:rFonts w:cs="Arial"/>
          <w:bCs/>
          <w:lang w:val="es-MX"/>
        </w:rPr>
        <w:t xml:space="preserve">Téngase  presente </w:t>
      </w:r>
      <w:r w:rsidR="002E23C9">
        <w:rPr>
          <w:rFonts w:cs="Arial"/>
          <w:bCs/>
          <w:lang w:val="es-MX"/>
        </w:rPr>
        <w:t xml:space="preserve">que en el futuro la Administración deberá </w:t>
      </w:r>
      <w:r w:rsidR="002E23C9" w:rsidRPr="00E12517">
        <w:rPr>
          <w:rFonts w:cs="Arial"/>
          <w:bCs/>
          <w:lang w:val="es-MX"/>
        </w:rPr>
        <w:t>proceder a la modificación de los Pliegos de Condiciones</w:t>
      </w:r>
      <w:r w:rsidR="002E23C9">
        <w:rPr>
          <w:rFonts w:cs="Arial"/>
          <w:bCs/>
          <w:lang w:val="es-MX"/>
        </w:rPr>
        <w:t xml:space="preserve"> ajustándolos según lo </w:t>
      </w:r>
      <w:r w:rsidR="002E23C9" w:rsidRPr="00E12517">
        <w:rPr>
          <w:rFonts w:cs="Arial"/>
          <w:bCs/>
          <w:lang w:val="es-MX"/>
        </w:rPr>
        <w:t xml:space="preserve"> </w:t>
      </w:r>
      <w:r w:rsidR="002E23C9" w:rsidRPr="00E12517">
        <w:rPr>
          <w:rFonts w:cs="Arial"/>
          <w:bCs/>
          <w:lang w:val="es-MX"/>
        </w:rPr>
        <w:lastRenderedPageBreak/>
        <w:t xml:space="preserve">expresado en los Considerandos </w:t>
      </w:r>
      <w:r w:rsidR="002E23C9">
        <w:rPr>
          <w:rFonts w:cs="Arial"/>
          <w:bCs/>
          <w:lang w:val="es-MX"/>
        </w:rPr>
        <w:t>1) y 2) bajo apercibimiento de incurrir en una causal de observación del gasto;</w:t>
      </w:r>
    </w:p>
    <w:p w:rsidR="00337C69" w:rsidRDefault="00D6173A" w:rsidP="00D6173A">
      <w:pPr>
        <w:spacing w:line="360" w:lineRule="auto"/>
        <w:jc w:val="both"/>
        <w:rPr>
          <w:b/>
        </w:rPr>
      </w:pPr>
      <w:r w:rsidRPr="00BA6DF7">
        <w:rPr>
          <w:b/>
          <w:lang w:val="es-MX"/>
        </w:rPr>
        <w:t>3)</w:t>
      </w:r>
      <w:r w:rsidR="00BA6DF7">
        <w:rPr>
          <w:lang w:val="es-MX"/>
        </w:rPr>
        <w:t xml:space="preserve"> </w:t>
      </w:r>
      <w:r w:rsidR="00337C69">
        <w:rPr>
          <w:lang w:val="es-MX"/>
        </w:rPr>
        <w:t>Comunicar al C</w:t>
      </w:r>
      <w:r w:rsidR="00BA6DF7">
        <w:rPr>
          <w:lang w:val="es-MX"/>
        </w:rPr>
        <w:t xml:space="preserve">ontador </w:t>
      </w:r>
      <w:r w:rsidR="00337C69">
        <w:rPr>
          <w:lang w:val="es-MX"/>
        </w:rPr>
        <w:t xml:space="preserve"> Delegado;</w:t>
      </w:r>
      <w:r w:rsidR="00BA6DF7">
        <w:rPr>
          <w:lang w:val="es-MX"/>
        </w:rPr>
        <w:t xml:space="preserve"> y</w:t>
      </w:r>
      <w:r w:rsidR="00337C69">
        <w:rPr>
          <w:lang w:val="es-MX"/>
        </w:rPr>
        <w:t xml:space="preserve"> </w:t>
      </w:r>
    </w:p>
    <w:p w:rsidR="00337C69" w:rsidRDefault="00BA6DF7" w:rsidP="00BA6DF7">
      <w:pPr>
        <w:spacing w:line="360" w:lineRule="auto"/>
        <w:jc w:val="both"/>
      </w:pPr>
      <w:r w:rsidRPr="00BA6DF7">
        <w:rPr>
          <w:b/>
        </w:rPr>
        <w:t>4)</w:t>
      </w:r>
      <w:r>
        <w:t xml:space="preserve"> </w:t>
      </w:r>
      <w:r w:rsidR="00337C69">
        <w:t>Devolver las actuaciones.</w:t>
      </w:r>
    </w:p>
    <w:p w:rsidR="008875ED" w:rsidRDefault="008875ED" w:rsidP="00750FF8">
      <w:pPr>
        <w:spacing w:line="360" w:lineRule="auto"/>
        <w:jc w:val="both"/>
        <w:rPr>
          <w:rFonts w:cs="Arial"/>
          <w:sz w:val="22"/>
          <w:szCs w:val="22"/>
          <w:lang w:val="es-UY"/>
        </w:rPr>
      </w:pPr>
    </w:p>
    <w:p w:rsidR="008875ED" w:rsidRDefault="008875ED" w:rsidP="00750FF8">
      <w:pPr>
        <w:spacing w:line="360" w:lineRule="auto"/>
        <w:jc w:val="both"/>
        <w:rPr>
          <w:rFonts w:cs="Arial"/>
          <w:sz w:val="22"/>
          <w:szCs w:val="22"/>
          <w:lang w:val="es-UY"/>
        </w:rPr>
      </w:pPr>
    </w:p>
    <w:p w:rsidR="008875ED" w:rsidRDefault="008875ED" w:rsidP="00750FF8">
      <w:pPr>
        <w:spacing w:line="360" w:lineRule="auto"/>
        <w:jc w:val="both"/>
        <w:rPr>
          <w:rFonts w:cs="Arial"/>
          <w:sz w:val="22"/>
          <w:szCs w:val="22"/>
          <w:lang w:val="es-UY"/>
        </w:rPr>
      </w:pPr>
    </w:p>
    <w:p w:rsidR="008875ED" w:rsidRDefault="008875ED" w:rsidP="00750FF8">
      <w:pPr>
        <w:spacing w:line="360" w:lineRule="auto"/>
        <w:jc w:val="both"/>
        <w:rPr>
          <w:rFonts w:cs="Arial"/>
          <w:sz w:val="22"/>
          <w:szCs w:val="22"/>
          <w:lang w:val="es-UY"/>
        </w:rPr>
      </w:pPr>
    </w:p>
    <w:p w:rsidR="00BA6DF7" w:rsidRDefault="00BA6DF7" w:rsidP="00750FF8">
      <w:pPr>
        <w:spacing w:line="360" w:lineRule="auto"/>
        <w:jc w:val="both"/>
        <w:rPr>
          <w:rFonts w:cs="Arial"/>
          <w:sz w:val="22"/>
          <w:szCs w:val="22"/>
          <w:lang w:val="es-UY"/>
        </w:rPr>
      </w:pPr>
      <w:r w:rsidRPr="006A2B03">
        <w:rPr>
          <w:rFonts w:cs="Arial"/>
          <w:sz w:val="22"/>
          <w:szCs w:val="22"/>
          <w:lang w:val="es-UY"/>
        </w:rPr>
        <w:t xml:space="preserve">CONSTANCIA DE FUNDAMENTO DE VOTO NEGATIVO </w:t>
      </w:r>
      <w:r>
        <w:rPr>
          <w:rFonts w:cs="Arial"/>
          <w:sz w:val="22"/>
          <w:szCs w:val="22"/>
          <w:lang w:val="es-UY"/>
        </w:rPr>
        <w:t xml:space="preserve">DE LA MINISTRA </w:t>
      </w:r>
      <w:r w:rsidR="00750FF8">
        <w:rPr>
          <w:rFonts w:cs="Arial"/>
          <w:sz w:val="22"/>
          <w:szCs w:val="22"/>
          <w:lang w:val="es-UY"/>
        </w:rPr>
        <w:t xml:space="preserve">CONTADORA </w:t>
      </w:r>
      <w:r>
        <w:rPr>
          <w:rFonts w:cs="Arial"/>
          <w:sz w:val="22"/>
          <w:szCs w:val="22"/>
          <w:lang w:val="es-UY"/>
        </w:rPr>
        <w:t>BEATRIZ MARTINEZ:</w:t>
      </w:r>
    </w:p>
    <w:p w:rsidR="00BA6DF7" w:rsidRDefault="00BA6DF7">
      <w:pPr>
        <w:jc w:val="both"/>
        <w:rPr>
          <w:rFonts w:cs="Arial"/>
        </w:rPr>
      </w:pPr>
    </w:p>
    <w:p w:rsidR="00BA6DF7" w:rsidRDefault="00BA6DF7" w:rsidP="008875ED">
      <w:pPr>
        <w:spacing w:line="360" w:lineRule="auto"/>
        <w:jc w:val="both"/>
        <w:rPr>
          <w:rFonts w:cs="Arial"/>
        </w:rPr>
      </w:pPr>
      <w:r>
        <w:rPr>
          <w:rFonts w:cs="Arial"/>
        </w:rPr>
        <w:t xml:space="preserve">El </w:t>
      </w:r>
      <w:r w:rsidR="008875ED">
        <w:rPr>
          <w:rFonts w:cs="Arial"/>
        </w:rPr>
        <w:t>A</w:t>
      </w:r>
      <w:r>
        <w:rPr>
          <w:rFonts w:cs="Arial"/>
        </w:rPr>
        <w:t xml:space="preserve">rtículo 14.1 del Pliego de Condiciones que rigió la Licitación faculta a la Administración a aceptar o rechazar ofertas que contengan apartamientos que son de carácter sustancial y por ello, en el caso que se constaten los mismos, las ofertas que los contengan, </w:t>
      </w:r>
      <w:r>
        <w:rPr>
          <w:rFonts w:cs="Arial"/>
          <w:b/>
          <w:bCs/>
        </w:rPr>
        <w:t xml:space="preserve">DEBEN </w:t>
      </w:r>
      <w:r>
        <w:rPr>
          <w:rFonts w:cs="Arial"/>
        </w:rPr>
        <w:t>ser descartadas, no pudiendo quedar librado a la voluntad de la Administración el aceptarlas o rechazarlas.</w:t>
      </w:r>
    </w:p>
    <w:p w:rsidR="00BA6DF7" w:rsidRDefault="00BA6DF7" w:rsidP="008875ED">
      <w:pPr>
        <w:spacing w:line="360" w:lineRule="auto"/>
        <w:jc w:val="both"/>
        <w:rPr>
          <w:rFonts w:cs="Arial"/>
        </w:rPr>
      </w:pPr>
      <w:r>
        <w:rPr>
          <w:rFonts w:cs="Arial"/>
        </w:rPr>
        <w:t xml:space="preserve">Aun cuando, en el caso ese artículo no haya sido aplicado y por lo tanto no </w:t>
      </w:r>
      <w:r w:rsidRPr="008875ED">
        <w:rPr>
          <w:rFonts w:cs="Arial"/>
          <w:spacing w:val="-12"/>
        </w:rPr>
        <w:t>haya incidido en el resultado de la Licitación es, a mi juicio, absolutamente</w:t>
      </w:r>
      <w:r>
        <w:rPr>
          <w:rFonts w:cs="Arial"/>
        </w:rPr>
        <w:t xml:space="preserve"> inaceptable </w:t>
      </w:r>
      <w:r w:rsidRPr="008875ED">
        <w:rPr>
          <w:rFonts w:cs="Arial"/>
          <w:spacing w:val="-8"/>
        </w:rPr>
        <w:t>un pliego que contenga esa cláusula, por lo que creo que corresponde</w:t>
      </w:r>
      <w:r>
        <w:rPr>
          <w:rFonts w:cs="Arial"/>
        </w:rPr>
        <w:t xml:space="preserve"> observar.</w:t>
      </w:r>
    </w:p>
    <w:p w:rsidR="00BA6DF7" w:rsidRDefault="00BA6DF7" w:rsidP="008875ED">
      <w:pPr>
        <w:spacing w:line="360" w:lineRule="auto"/>
        <w:jc w:val="both"/>
        <w:rPr>
          <w:rFonts w:cs="Arial"/>
        </w:rPr>
      </w:pPr>
      <w:r>
        <w:rPr>
          <w:rFonts w:cs="Arial"/>
        </w:rPr>
        <w:t xml:space="preserve"> Por ese motivo y por razones de coherencia en las Resoluciones de este Tribunal que, en numerosas oportunidades, ante procedimientos regidos por </w:t>
      </w:r>
      <w:r w:rsidR="008875ED">
        <w:rPr>
          <w:rFonts w:cs="Arial"/>
        </w:rPr>
        <w:t>pliegos que, contraviniendo el A</w:t>
      </w:r>
      <w:r>
        <w:rPr>
          <w:rFonts w:cs="Arial"/>
        </w:rPr>
        <w:t xml:space="preserve">rtículo 48 del TOCAF, piden que se presente con la oferta, la constancia de compra del pliego o cualquier otro documento que debería exigirse sólo al adjudicatario, ha observado los mismos, tratándose, en mi opinión, de apartamientos menores en relación al que origina mi voto negativo en la oportunidad. </w:t>
      </w:r>
    </w:p>
    <w:p w:rsidR="00BA6DF7" w:rsidRDefault="00BA6DF7" w:rsidP="008875ED">
      <w:pPr>
        <w:spacing w:line="360" w:lineRule="auto"/>
        <w:jc w:val="both"/>
        <w:rPr>
          <w:rFonts w:cs="Arial"/>
        </w:rPr>
      </w:pPr>
    </w:p>
    <w:p w:rsidR="000913AD" w:rsidRDefault="000913AD">
      <w:pPr>
        <w:jc w:val="both"/>
        <w:rPr>
          <w:rFonts w:cs="Arial"/>
        </w:rPr>
      </w:pPr>
    </w:p>
    <w:p w:rsidR="008875ED" w:rsidRDefault="008875ED">
      <w:pPr>
        <w:jc w:val="both"/>
        <w:rPr>
          <w:rFonts w:cs="Arial"/>
        </w:rPr>
      </w:pPr>
    </w:p>
    <w:p w:rsidR="008875ED" w:rsidRDefault="008875ED">
      <w:pPr>
        <w:jc w:val="both"/>
        <w:rPr>
          <w:rFonts w:cs="Arial"/>
        </w:rPr>
      </w:pPr>
    </w:p>
    <w:p w:rsidR="000913AD" w:rsidRDefault="000913AD">
      <w:pPr>
        <w:jc w:val="both"/>
        <w:rPr>
          <w:rFonts w:cs="Arial"/>
        </w:rPr>
      </w:pPr>
      <w:bookmarkStart w:id="0" w:name="_GoBack"/>
      <w:bookmarkEnd w:id="0"/>
      <w:proofErr w:type="spellStart"/>
      <w:proofErr w:type="gramStart"/>
      <w:r>
        <w:rPr>
          <w:rFonts w:cs="Arial"/>
        </w:rPr>
        <w:t>cr</w:t>
      </w:r>
      <w:proofErr w:type="spellEnd"/>
      <w:proofErr w:type="gramEnd"/>
    </w:p>
    <w:sectPr w:rsidR="000913AD" w:rsidSect="00D50406">
      <w:footerReference w:type="even" r:id="rId8"/>
      <w:footerReference w:type="default" r:id="rId9"/>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C69" w:rsidRDefault="00337C69">
      <w:r>
        <w:separator/>
      </w:r>
    </w:p>
  </w:endnote>
  <w:endnote w:type="continuationSeparator" w:id="0">
    <w:p w:rsidR="00337C69" w:rsidRDefault="0033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69" w:rsidRDefault="00337C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37C69" w:rsidRDefault="00337C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69" w:rsidRDefault="00337C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75ED">
      <w:rPr>
        <w:rStyle w:val="Nmerodepgina"/>
        <w:noProof/>
      </w:rPr>
      <w:t>4</w:t>
    </w:r>
    <w:r>
      <w:rPr>
        <w:rStyle w:val="Nmerodepgina"/>
      </w:rPr>
      <w:fldChar w:fldCharType="end"/>
    </w:r>
  </w:p>
  <w:p w:rsidR="00337C69" w:rsidRDefault="00337C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C69" w:rsidRDefault="00337C69">
      <w:r>
        <w:separator/>
      </w:r>
    </w:p>
  </w:footnote>
  <w:footnote w:type="continuationSeparator" w:id="0">
    <w:p w:rsidR="00337C69" w:rsidRDefault="00337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492B"/>
    <w:multiLevelType w:val="hybridMultilevel"/>
    <w:tmpl w:val="3ADA218A"/>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59343D6"/>
    <w:multiLevelType w:val="hybridMultilevel"/>
    <w:tmpl w:val="66D0B40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FB103CA"/>
    <w:multiLevelType w:val="hybridMultilevel"/>
    <w:tmpl w:val="0CD4A31C"/>
    <w:lvl w:ilvl="0" w:tplc="942CF5D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3C9"/>
    <w:rsid w:val="000913AD"/>
    <w:rsid w:val="002E23C9"/>
    <w:rsid w:val="00337C69"/>
    <w:rsid w:val="00750FF8"/>
    <w:rsid w:val="008875ED"/>
    <w:rsid w:val="00BA6DF7"/>
    <w:rsid w:val="00D50406"/>
    <w:rsid w:val="00D617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i/>
      <w:iCs/>
      <w:sz w:val="20"/>
      <w:szCs w:val="24"/>
      <w:lang w:val="es-MX"/>
    </w:rPr>
  </w:style>
  <w:style w:type="character" w:customStyle="1" w:styleId="TextoindependienteCar">
    <w:name w:val="Texto independiente Car"/>
    <w:semiHidden/>
    <w:rPr>
      <w:rFonts w:ascii="Arial" w:hAnsi="Arial" w:cs="Arial"/>
      <w:bCs/>
      <w:i/>
      <w:iCs/>
      <w:szCs w:val="24"/>
      <w:lang w:val="es-MX" w:eastAsia="es-ES"/>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 w:eastAsia="es-ES"/>
    </w:rPr>
  </w:style>
  <w:style w:type="paragraph" w:styleId="Textoindependiente2">
    <w:name w:val="Body Text 2"/>
    <w:basedOn w:val="Normal"/>
    <w:semiHidden/>
    <w:pPr>
      <w:spacing w:line="360" w:lineRule="auto"/>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i/>
      <w:iCs/>
      <w:sz w:val="20"/>
      <w:szCs w:val="24"/>
      <w:lang w:val="es-MX"/>
    </w:rPr>
  </w:style>
  <w:style w:type="character" w:customStyle="1" w:styleId="TextoindependienteCar">
    <w:name w:val="Texto independiente Car"/>
    <w:semiHidden/>
    <w:rPr>
      <w:rFonts w:ascii="Arial" w:hAnsi="Arial" w:cs="Arial"/>
      <w:bCs/>
      <w:i/>
      <w:iCs/>
      <w:szCs w:val="24"/>
      <w:lang w:val="es-MX" w:eastAsia="es-ES"/>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 w:eastAsia="es-ES"/>
    </w:rPr>
  </w:style>
  <w:style w:type="paragraph" w:styleId="Textoindependiente2">
    <w:name w:val="Body Text 2"/>
    <w:basedOn w:val="Normal"/>
    <w:semiHidden/>
    <w:pPr>
      <w:spacing w:line="360" w:lineRule="auto"/>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subject/>
  <dc:creator>Tribunal de Cuentas</dc:creator>
  <cp:keywords/>
  <dc:description/>
  <cp:lastModifiedBy>Miriam Cristina Rivero</cp:lastModifiedBy>
  <cp:revision>2</cp:revision>
  <cp:lastPrinted>2014-02-07T13:19:00Z</cp:lastPrinted>
  <dcterms:created xsi:type="dcterms:W3CDTF">2014-02-07T13:21:00Z</dcterms:created>
  <dcterms:modified xsi:type="dcterms:W3CDTF">2014-02-07T13:21:00Z</dcterms:modified>
</cp:coreProperties>
</file>