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E587B">
      <w:pPr>
        <w:pStyle w:val="Ttulo"/>
        <w:jc w:val="right"/>
        <w:rPr>
          <w:rFonts w:cs="Arial"/>
          <w:b w:val="0"/>
          <w:bCs/>
          <w:u w:val="none"/>
        </w:rPr>
      </w:pPr>
    </w:p>
    <w:p w:rsidR="00866D4C" w:rsidRDefault="00866D4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866D4C" w:rsidRDefault="00866D4C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66D4C" w:rsidRDefault="00866D4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866D4C" w:rsidRDefault="00866D4C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66D4C" w:rsidRDefault="00866D4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DE 5 DE FEBRERO DE 2014</w:t>
      </w:r>
    </w:p>
    <w:p w:rsidR="00866D4C" w:rsidRDefault="00866D4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66D4C" w:rsidRPr="00866D4C" w:rsidRDefault="00866D4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866D4C">
        <w:rPr>
          <w:rFonts w:ascii="Helvetica" w:hAnsi="Helvetica"/>
          <w:b/>
          <w:lang w:val="es-UY"/>
        </w:rPr>
        <w:t xml:space="preserve">(E. E. Nº 2013-17-1-0006622, </w:t>
      </w:r>
      <w:proofErr w:type="spellStart"/>
      <w:r w:rsidRPr="00866D4C">
        <w:rPr>
          <w:rFonts w:ascii="Helvetica" w:hAnsi="Helvetica"/>
          <w:b/>
          <w:lang w:val="es-UY"/>
        </w:rPr>
        <w:t>Ent</w:t>
      </w:r>
      <w:proofErr w:type="spellEnd"/>
      <w:r w:rsidRPr="00866D4C">
        <w:rPr>
          <w:rFonts w:ascii="Helvetica" w:hAnsi="Helvetica"/>
          <w:b/>
          <w:lang w:val="es-UY"/>
        </w:rPr>
        <w:t>. N° 430/14.)</w:t>
      </w:r>
    </w:p>
    <w:p w:rsidR="00866D4C" w:rsidRPr="00866D4C" w:rsidRDefault="00866D4C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000000" w:rsidRDefault="000E587B" w:rsidP="00866D4C">
      <w:pPr>
        <w:spacing w:line="36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VISTO:</w:t>
      </w:r>
      <w:r>
        <w:rPr>
          <w:rFonts w:ascii="Arial" w:hAnsi="Arial" w:cs="Arial"/>
          <w:bCs/>
        </w:rPr>
        <w:t xml:space="preserve"> estas actuaciones remitidas por la Intendencia de Maldonado relacionadas con la imputación del gasto derivado de la  Licitación 07/2013, pa</w:t>
      </w:r>
      <w:r>
        <w:rPr>
          <w:rFonts w:ascii="Arial" w:hAnsi="Arial" w:cs="Arial"/>
          <w:bCs/>
        </w:rPr>
        <w:t>ra la contratación del servicio de vigilancia y seguridad de los parques y plazas del Municipio de Maldonado</w:t>
      </w:r>
      <w:r>
        <w:rPr>
          <w:rFonts w:ascii="Arial" w:hAnsi="Arial" w:cs="Arial"/>
          <w:bCs/>
          <w:lang w:val="es-ES_tradnl"/>
        </w:rPr>
        <w:t>;</w:t>
      </w:r>
    </w:p>
    <w:p w:rsidR="00000000" w:rsidRDefault="000E587B" w:rsidP="00866D4C">
      <w:pPr>
        <w:pStyle w:val="Ttulo"/>
        <w:ind w:firstLine="708"/>
        <w:jc w:val="both"/>
        <w:rPr>
          <w:rFonts w:cs="Arial"/>
          <w:b w:val="0"/>
          <w:bCs/>
          <w:u w:val="none"/>
        </w:rPr>
      </w:pPr>
      <w:r>
        <w:rPr>
          <w:rFonts w:cs="Arial"/>
          <w:bCs/>
          <w:u w:val="none"/>
        </w:rPr>
        <w:t>RESULTANDO</w:t>
      </w:r>
      <w:r w:rsidRPr="00866D4C">
        <w:rPr>
          <w:rFonts w:cs="Arial"/>
          <w:bCs/>
          <w:u w:val="none"/>
        </w:rPr>
        <w:t>: 1</w:t>
      </w:r>
      <w:r w:rsidRPr="00866D4C">
        <w:rPr>
          <w:rFonts w:cs="Arial"/>
          <w:bCs/>
          <w:u w:val="none"/>
        </w:rPr>
        <w:t>)</w:t>
      </w:r>
      <w:r>
        <w:rPr>
          <w:rFonts w:cs="Arial"/>
          <w:b w:val="0"/>
          <w:bCs/>
          <w:u w:val="none"/>
        </w:rPr>
        <w:t xml:space="preserve"> que el Intendente por Resolución Nº 7201/2013 de fecha 18 de setiembre de 2013 dispone adjudicar ad referéndum de este Tribunal, la</w:t>
      </w:r>
      <w:r>
        <w:rPr>
          <w:rFonts w:cs="Arial"/>
          <w:b w:val="0"/>
          <w:bCs/>
          <w:u w:val="none"/>
        </w:rPr>
        <w:t xml:space="preserve"> licitación Pública referida al Sr. Richard Daniel Correa </w:t>
      </w:r>
      <w:proofErr w:type="spellStart"/>
      <w:r>
        <w:rPr>
          <w:rFonts w:cs="Arial"/>
          <w:b w:val="0"/>
          <w:bCs/>
          <w:u w:val="none"/>
        </w:rPr>
        <w:t>Maritan</w:t>
      </w:r>
      <w:proofErr w:type="spellEnd"/>
      <w:r>
        <w:rPr>
          <w:rFonts w:cs="Arial"/>
          <w:b w:val="0"/>
          <w:bCs/>
          <w:u w:val="none"/>
        </w:rPr>
        <w:t xml:space="preserve"> el servicio de vigilancia de la Plaza San Fernando y Plaza de Cachimba del Rey-Derechos Humanos a un precio de hora –hombre de $ 170,80 impuestos incluidos y a </w:t>
      </w:r>
      <w:proofErr w:type="spellStart"/>
      <w:r>
        <w:rPr>
          <w:rFonts w:cs="Arial"/>
          <w:b w:val="0"/>
          <w:bCs/>
          <w:u w:val="none"/>
        </w:rPr>
        <w:t>Foreing</w:t>
      </w:r>
      <w:proofErr w:type="spellEnd"/>
      <w:r>
        <w:rPr>
          <w:rFonts w:cs="Arial"/>
          <w:b w:val="0"/>
          <w:bCs/>
          <w:u w:val="none"/>
        </w:rPr>
        <w:t xml:space="preserve"> Security Ltda., el ser</w:t>
      </w:r>
      <w:r>
        <w:rPr>
          <w:rFonts w:cs="Arial"/>
          <w:b w:val="0"/>
          <w:bCs/>
          <w:u w:val="none"/>
        </w:rPr>
        <w:t>vicio de vigilancia del Parque Alicia, la Plaza de Cachimba del Rey-Derechos Humanos a un precio hora-hombre de $170,00 impuestos incluidos, otorgando además un descuento del 5% quedando por lo tanto la hora-hombre de % 161,50;</w:t>
      </w:r>
    </w:p>
    <w:p w:rsidR="00000000" w:rsidRDefault="000E587B" w:rsidP="00866D4C">
      <w:pPr>
        <w:pStyle w:val="Ttulo"/>
        <w:ind w:firstLine="2552"/>
        <w:jc w:val="both"/>
        <w:rPr>
          <w:rFonts w:cs="Arial"/>
          <w:b w:val="0"/>
          <w:bCs/>
          <w:u w:val="none"/>
        </w:rPr>
      </w:pPr>
      <w:r>
        <w:rPr>
          <w:rFonts w:cs="Arial"/>
          <w:u w:val="none"/>
        </w:rPr>
        <w:t xml:space="preserve">2) </w:t>
      </w:r>
      <w:r>
        <w:rPr>
          <w:rFonts w:cs="Arial"/>
          <w:b w:val="0"/>
          <w:bCs/>
          <w:u w:val="none"/>
        </w:rPr>
        <w:t>que el</w:t>
      </w:r>
      <w:r w:rsidR="00866D4C">
        <w:rPr>
          <w:rFonts w:cs="Arial"/>
          <w:b w:val="0"/>
          <w:bCs/>
          <w:u w:val="none"/>
        </w:rPr>
        <w:t xml:space="preserve"> Tribunal de Cuentas, en S</w:t>
      </w:r>
      <w:r>
        <w:rPr>
          <w:rFonts w:cs="Arial"/>
          <w:b w:val="0"/>
          <w:bCs/>
          <w:u w:val="none"/>
        </w:rPr>
        <w:t xml:space="preserve">esión de fecha 6/11/13 acordó observar el gasto por incumplimiento de los </w:t>
      </w:r>
      <w:r w:rsidR="00866D4C">
        <w:rPr>
          <w:rFonts w:cs="Arial"/>
          <w:b w:val="0"/>
          <w:bCs/>
          <w:u w:val="none"/>
        </w:rPr>
        <w:t>A</w:t>
      </w:r>
      <w:r>
        <w:rPr>
          <w:rFonts w:cs="Arial"/>
          <w:b w:val="0"/>
          <w:bCs/>
          <w:u w:val="none"/>
        </w:rPr>
        <w:t>rt</w:t>
      </w:r>
      <w:r w:rsidR="00866D4C">
        <w:rPr>
          <w:rFonts w:cs="Arial"/>
          <w:b w:val="0"/>
          <w:bCs/>
          <w:u w:val="none"/>
        </w:rPr>
        <w:t>ículo</w:t>
      </w:r>
      <w:r>
        <w:rPr>
          <w:rFonts w:cs="Arial"/>
          <w:b w:val="0"/>
          <w:bCs/>
          <w:u w:val="none"/>
        </w:rPr>
        <w:t>s</w:t>
      </w:r>
      <w:r>
        <w:rPr>
          <w:rFonts w:cs="Arial"/>
          <w:b w:val="0"/>
          <w:bCs/>
          <w:u w:val="none"/>
        </w:rPr>
        <w:t xml:space="preserve"> 48 y 64 del TOCAF;</w:t>
      </w:r>
    </w:p>
    <w:p w:rsidR="00000000" w:rsidRDefault="000E587B" w:rsidP="00866D4C">
      <w:pPr>
        <w:pStyle w:val="Ttulo"/>
        <w:ind w:firstLine="2552"/>
        <w:jc w:val="both"/>
        <w:rPr>
          <w:rFonts w:cs="Arial"/>
          <w:u w:val="none"/>
        </w:rPr>
      </w:pPr>
      <w:r w:rsidRPr="00866D4C">
        <w:rPr>
          <w:rFonts w:cs="Arial"/>
          <w:spacing w:val="-12"/>
          <w:u w:val="none"/>
        </w:rPr>
        <w:t>3)</w:t>
      </w:r>
      <w:r w:rsidRPr="00866D4C">
        <w:rPr>
          <w:rFonts w:cs="Arial"/>
          <w:b w:val="0"/>
          <w:bCs/>
          <w:spacing w:val="-12"/>
          <w:u w:val="none"/>
        </w:rPr>
        <w:t xml:space="preserve"> que el gasto fue reiterado por Resolución </w:t>
      </w:r>
      <w:r w:rsidR="00866D4C" w:rsidRPr="00866D4C">
        <w:rPr>
          <w:rFonts w:cs="Arial"/>
          <w:b w:val="0"/>
          <w:bCs/>
          <w:spacing w:val="-12"/>
          <w:u w:val="none"/>
        </w:rPr>
        <w:t>N</w:t>
      </w:r>
      <w:r w:rsidRPr="00866D4C">
        <w:rPr>
          <w:rFonts w:cs="Arial"/>
          <w:b w:val="0"/>
          <w:bCs/>
          <w:spacing w:val="-12"/>
          <w:u w:val="none"/>
        </w:rPr>
        <w:t>º</w:t>
      </w:r>
      <w:r>
        <w:rPr>
          <w:rFonts w:cs="Arial"/>
          <w:b w:val="0"/>
          <w:bCs/>
          <w:u w:val="none"/>
        </w:rPr>
        <w:t xml:space="preserve"> 00130/2014</w:t>
      </w:r>
      <w:r>
        <w:rPr>
          <w:rFonts w:cs="Arial"/>
          <w:b w:val="0"/>
          <w:bCs/>
          <w:u w:val="none"/>
        </w:rPr>
        <w:t>, y la observación mantenida por el Tribunal</w:t>
      </w:r>
      <w:r>
        <w:rPr>
          <w:rFonts w:cs="Arial"/>
          <w:u w:val="none"/>
        </w:rPr>
        <w:t xml:space="preserve">; </w:t>
      </w:r>
    </w:p>
    <w:p w:rsidR="00000000" w:rsidRDefault="000E587B" w:rsidP="00866D4C">
      <w:pPr>
        <w:pStyle w:val="Ttulo"/>
        <w:ind w:firstLine="2552"/>
        <w:jc w:val="both"/>
        <w:rPr>
          <w:rFonts w:cs="Arial"/>
          <w:b w:val="0"/>
          <w:bCs/>
          <w:u w:val="none"/>
        </w:rPr>
      </w:pPr>
      <w:r>
        <w:rPr>
          <w:rFonts w:cs="Arial"/>
          <w:u w:val="none"/>
        </w:rPr>
        <w:t xml:space="preserve">4) </w:t>
      </w:r>
      <w:r>
        <w:rPr>
          <w:rFonts w:cs="Arial"/>
          <w:b w:val="0"/>
          <w:bCs/>
          <w:u w:val="none"/>
        </w:rPr>
        <w:t>que en la oportunidad se remite para la intervención el gasto de $ 1.967.616</w:t>
      </w:r>
      <w:r>
        <w:rPr>
          <w:rFonts w:cs="Arial"/>
          <w:b w:val="0"/>
          <w:bCs/>
          <w:u w:val="none"/>
        </w:rPr>
        <w:t xml:space="preserve"> y $2.790.720 correspondiente al período enero/diciembre de 2014, y las sumas de $ 46.000 y $ 65.000 correspondientes a ajuste param</w:t>
      </w:r>
      <w:r w:rsidR="00CF6EF9">
        <w:rPr>
          <w:rFonts w:cs="Arial"/>
          <w:b w:val="0"/>
          <w:bCs/>
          <w:u w:val="none"/>
        </w:rPr>
        <w:t>é</w:t>
      </w:r>
      <w:r>
        <w:rPr>
          <w:rFonts w:cs="Arial"/>
          <w:b w:val="0"/>
          <w:bCs/>
          <w:u w:val="none"/>
        </w:rPr>
        <w:t xml:space="preserve">trico estimado. De acuerdo </w:t>
      </w:r>
      <w:r w:rsidR="00CF6EF9">
        <w:rPr>
          <w:rFonts w:cs="Arial"/>
          <w:b w:val="0"/>
          <w:bCs/>
          <w:u w:val="none"/>
        </w:rPr>
        <w:t>con el</w:t>
      </w:r>
      <w:r>
        <w:rPr>
          <w:rFonts w:cs="Arial"/>
          <w:b w:val="0"/>
          <w:bCs/>
          <w:u w:val="none"/>
        </w:rPr>
        <w:t xml:space="preserve"> </w:t>
      </w:r>
      <w:r>
        <w:rPr>
          <w:rFonts w:cs="Arial"/>
          <w:b w:val="0"/>
          <w:bCs/>
          <w:u w:val="none"/>
        </w:rPr>
        <w:t xml:space="preserve">informe contable de fecha </w:t>
      </w:r>
      <w:r>
        <w:rPr>
          <w:rFonts w:cs="Arial"/>
          <w:b w:val="0"/>
          <w:bCs/>
          <w:u w:val="none"/>
        </w:rPr>
        <w:lastRenderedPageBreak/>
        <w:t>20/1/14 la erogación total será atendida con cargo al rubro 16000-5291 que no cuenta con disponibilidad suficiente;</w:t>
      </w:r>
    </w:p>
    <w:p w:rsidR="00000000" w:rsidRDefault="000E587B" w:rsidP="00CF6EF9">
      <w:pPr>
        <w:pStyle w:val="Ttulo"/>
        <w:ind w:firstLine="708"/>
        <w:jc w:val="both"/>
        <w:rPr>
          <w:rFonts w:cs="Arial"/>
          <w:b w:val="0"/>
          <w:bCs/>
          <w:u w:val="none"/>
        </w:rPr>
      </w:pPr>
      <w:r>
        <w:rPr>
          <w:rFonts w:cs="Arial"/>
          <w:u w:val="none"/>
        </w:rPr>
        <w:t xml:space="preserve">CONSIDERANDO: </w:t>
      </w:r>
      <w:r w:rsidRPr="00CF6EF9">
        <w:rPr>
          <w:rFonts w:cs="Arial"/>
          <w:bCs/>
          <w:u w:val="none"/>
        </w:rPr>
        <w:t>1)</w:t>
      </w:r>
      <w:r>
        <w:rPr>
          <w:rFonts w:cs="Arial"/>
          <w:b w:val="0"/>
          <w:bCs/>
          <w:u w:val="none"/>
        </w:rPr>
        <w:t xml:space="preserve"> que el procedimiento  original fue observado por razones que por su naturaleza resultan insubsana</w:t>
      </w:r>
      <w:r>
        <w:rPr>
          <w:rFonts w:cs="Arial"/>
          <w:b w:val="0"/>
          <w:bCs/>
          <w:u w:val="none"/>
        </w:rPr>
        <w:t>bles;</w:t>
      </w:r>
    </w:p>
    <w:p w:rsidR="00000000" w:rsidRDefault="000E587B" w:rsidP="00CF6EF9">
      <w:pPr>
        <w:pStyle w:val="Ttulo"/>
        <w:ind w:firstLine="2835"/>
        <w:jc w:val="both"/>
        <w:rPr>
          <w:rFonts w:cs="Arial"/>
          <w:b w:val="0"/>
          <w:bCs/>
          <w:u w:val="none"/>
        </w:rPr>
      </w:pPr>
      <w:r w:rsidRPr="00CF6EF9">
        <w:rPr>
          <w:rFonts w:cs="Arial"/>
          <w:bCs/>
          <w:u w:val="none"/>
        </w:rPr>
        <w:t>2)</w:t>
      </w:r>
      <w:r>
        <w:rPr>
          <w:rFonts w:cs="Arial"/>
          <w:b w:val="0"/>
          <w:bCs/>
          <w:u w:val="none"/>
        </w:rPr>
        <w:t xml:space="preserve"> que de acuerdo </w:t>
      </w:r>
      <w:r w:rsidR="00CF6EF9">
        <w:rPr>
          <w:rFonts w:cs="Arial"/>
          <w:b w:val="0"/>
          <w:bCs/>
          <w:u w:val="none"/>
        </w:rPr>
        <w:t>con</w:t>
      </w:r>
      <w:r>
        <w:rPr>
          <w:rFonts w:cs="Arial"/>
          <w:b w:val="0"/>
          <w:bCs/>
          <w:u w:val="none"/>
        </w:rPr>
        <w:t xml:space="preserve"> lo dispuesto por el </w:t>
      </w:r>
      <w:r w:rsidR="00CF6EF9">
        <w:rPr>
          <w:rFonts w:cs="Arial"/>
          <w:b w:val="0"/>
          <w:bCs/>
          <w:u w:val="none"/>
        </w:rPr>
        <w:t>A</w:t>
      </w:r>
      <w:r>
        <w:rPr>
          <w:rFonts w:cs="Arial"/>
          <w:b w:val="0"/>
          <w:bCs/>
          <w:u w:val="none"/>
        </w:rPr>
        <w:t>rt</w:t>
      </w:r>
      <w:r w:rsidR="00CF6EF9">
        <w:rPr>
          <w:rFonts w:cs="Arial"/>
          <w:b w:val="0"/>
          <w:bCs/>
          <w:u w:val="none"/>
        </w:rPr>
        <w:t>ículo</w:t>
      </w:r>
      <w:r>
        <w:rPr>
          <w:rFonts w:cs="Arial"/>
          <w:b w:val="0"/>
          <w:bCs/>
          <w:u w:val="none"/>
        </w:rPr>
        <w:t xml:space="preserve"> 15 del TOCAF, no </w:t>
      </w:r>
      <w:r w:rsidR="00CF6EF9">
        <w:rPr>
          <w:rFonts w:cs="Arial"/>
          <w:b w:val="0"/>
          <w:bCs/>
          <w:u w:val="none"/>
        </w:rPr>
        <w:t xml:space="preserve">se </w:t>
      </w:r>
      <w:r>
        <w:rPr>
          <w:rFonts w:cs="Arial"/>
          <w:b w:val="0"/>
          <w:bCs/>
          <w:u w:val="none"/>
        </w:rPr>
        <w:t>puede comprometer</w:t>
      </w:r>
      <w:r>
        <w:rPr>
          <w:rFonts w:cs="Arial"/>
          <w:b w:val="0"/>
          <w:bCs/>
          <w:u w:val="none"/>
        </w:rPr>
        <w:t xml:space="preserve"> un gasto sin que exista crédito disponible;</w:t>
      </w:r>
    </w:p>
    <w:p w:rsidR="00CF6EF9" w:rsidRPr="00CF6EF9" w:rsidRDefault="00CF6EF9" w:rsidP="00CF6EF9">
      <w:pPr>
        <w:pStyle w:val="Ttulo"/>
        <w:ind w:firstLine="709"/>
        <w:jc w:val="both"/>
        <w:rPr>
          <w:rFonts w:cs="Arial"/>
          <w:b w:val="0"/>
          <w:bCs/>
          <w:u w:val="none"/>
        </w:rPr>
      </w:pPr>
      <w:r w:rsidRPr="00CF6EF9">
        <w:rPr>
          <w:rFonts w:cs="Arial"/>
          <w:bCs/>
          <w:u w:val="none"/>
        </w:rPr>
        <w:t>ATENTO:</w:t>
      </w:r>
      <w:r>
        <w:rPr>
          <w:rFonts w:cs="Arial"/>
          <w:bCs/>
          <w:u w:val="none"/>
        </w:rPr>
        <w:t xml:space="preserve"> </w:t>
      </w:r>
      <w:r w:rsidRPr="00CF6EF9">
        <w:rPr>
          <w:rFonts w:cs="Arial"/>
          <w:b w:val="0"/>
          <w:bCs/>
          <w:u w:val="none"/>
        </w:rPr>
        <w:t>a lo precedentemente expuesto;</w:t>
      </w:r>
    </w:p>
    <w:p w:rsidR="00000000" w:rsidRDefault="000E587B">
      <w:pPr>
        <w:pStyle w:val="Ttulo1"/>
        <w:jc w:val="center"/>
      </w:pPr>
      <w:r>
        <w:t>EL TRIBUNAL ACUERDA</w:t>
      </w:r>
    </w:p>
    <w:p w:rsidR="00000000" w:rsidRDefault="00CF6EF9" w:rsidP="00CF6EF9">
      <w:pPr>
        <w:pStyle w:val="Textoindependiente"/>
        <w:rPr>
          <w:u w:val="none"/>
        </w:rPr>
      </w:pPr>
      <w:r w:rsidRPr="00CF6EF9">
        <w:rPr>
          <w:b/>
          <w:u w:val="none"/>
        </w:rPr>
        <w:t>1)</w:t>
      </w:r>
      <w:r>
        <w:rPr>
          <w:u w:val="none"/>
        </w:rPr>
        <w:t xml:space="preserve"> </w:t>
      </w:r>
      <w:r w:rsidR="000E587B">
        <w:rPr>
          <w:u w:val="none"/>
        </w:rPr>
        <w:t>Observar el gasto</w:t>
      </w:r>
      <w:r>
        <w:rPr>
          <w:u w:val="none"/>
        </w:rPr>
        <w:t>;</w:t>
      </w:r>
      <w:bookmarkStart w:id="0" w:name="_GoBack"/>
      <w:bookmarkEnd w:id="0"/>
      <w:r>
        <w:rPr>
          <w:u w:val="none"/>
        </w:rPr>
        <w:t xml:space="preserve"> y</w:t>
      </w:r>
    </w:p>
    <w:p w:rsidR="00000000" w:rsidRDefault="00CF6EF9" w:rsidP="00CF6EF9">
      <w:pPr>
        <w:pStyle w:val="Textoindependiente"/>
      </w:pPr>
      <w:r w:rsidRPr="00CF6EF9">
        <w:rPr>
          <w:b/>
          <w:u w:val="none"/>
        </w:rPr>
        <w:t>2)</w:t>
      </w:r>
      <w:r>
        <w:rPr>
          <w:u w:val="none"/>
        </w:rPr>
        <w:t xml:space="preserve"> </w:t>
      </w:r>
      <w:r w:rsidR="000E587B">
        <w:rPr>
          <w:u w:val="none"/>
        </w:rPr>
        <w:t>Devolver las actua</w:t>
      </w:r>
      <w:r w:rsidR="000E587B">
        <w:rPr>
          <w:u w:val="none"/>
        </w:rPr>
        <w:t>ciones</w:t>
      </w:r>
      <w:r w:rsidR="000E587B">
        <w:rPr>
          <w:b/>
          <w:bCs w:val="0"/>
          <w:u w:val="none"/>
        </w:rPr>
        <w:t>.</w:t>
      </w:r>
      <w:r w:rsidR="000E587B">
        <w:t xml:space="preserve"> </w:t>
      </w:r>
    </w:p>
    <w:p w:rsidR="00000000" w:rsidRDefault="000E587B" w:rsidP="00CF6EF9">
      <w:pPr>
        <w:pStyle w:val="Textoindependiente"/>
      </w:pPr>
    </w:p>
    <w:p w:rsidR="00CF6EF9" w:rsidRDefault="00CF6EF9" w:rsidP="00CF6EF9">
      <w:pPr>
        <w:pStyle w:val="Textoindependiente"/>
      </w:pPr>
    </w:p>
    <w:p w:rsidR="00CF6EF9" w:rsidRDefault="00CF6EF9" w:rsidP="00CF6EF9">
      <w:pPr>
        <w:pStyle w:val="Textoindependiente"/>
      </w:pPr>
    </w:p>
    <w:p w:rsidR="00CF6EF9" w:rsidRDefault="00CF6EF9" w:rsidP="00CF6EF9">
      <w:pPr>
        <w:pStyle w:val="Textoindependiente"/>
      </w:pPr>
    </w:p>
    <w:p w:rsidR="00CF6EF9" w:rsidRDefault="00CF6EF9" w:rsidP="00CF6EF9">
      <w:pPr>
        <w:pStyle w:val="Textoindependiente"/>
      </w:pPr>
    </w:p>
    <w:p w:rsidR="00CF6EF9" w:rsidRDefault="00CF6EF9" w:rsidP="00CF6EF9">
      <w:pPr>
        <w:pStyle w:val="Textoindependiente"/>
      </w:pPr>
    </w:p>
    <w:p w:rsidR="00CF6EF9" w:rsidRDefault="00CF6EF9" w:rsidP="00CF6EF9">
      <w:pPr>
        <w:pStyle w:val="Textoindependiente"/>
      </w:pPr>
    </w:p>
    <w:p w:rsidR="00CF6EF9" w:rsidRDefault="00CF6EF9" w:rsidP="00CF6EF9">
      <w:pPr>
        <w:pStyle w:val="Textoindependiente"/>
      </w:pPr>
    </w:p>
    <w:p w:rsidR="00CF6EF9" w:rsidRDefault="00CF6EF9" w:rsidP="00CF6EF9">
      <w:pPr>
        <w:pStyle w:val="Textoindependiente"/>
      </w:pPr>
      <w:proofErr w:type="spellStart"/>
      <w:proofErr w:type="gramStart"/>
      <w:r>
        <w:t>cr</w:t>
      </w:r>
      <w:proofErr w:type="spellEnd"/>
      <w:proofErr w:type="gramEnd"/>
    </w:p>
    <w:sectPr w:rsidR="00CF6EF9" w:rsidSect="00866D4C">
      <w:footerReference w:type="default" r:id="rId8"/>
      <w:pgSz w:w="11906" w:h="16838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E587B">
      <w:r>
        <w:separator/>
      </w:r>
    </w:p>
  </w:endnote>
  <w:endnote w:type="continuationSeparator" w:id="0">
    <w:p w:rsidR="00000000" w:rsidRDefault="000E5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E587B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000000" w:rsidRDefault="000E587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E587B">
      <w:r>
        <w:separator/>
      </w:r>
    </w:p>
  </w:footnote>
  <w:footnote w:type="continuationSeparator" w:id="0">
    <w:p w:rsidR="00000000" w:rsidRDefault="000E5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1A0B63"/>
    <w:multiLevelType w:val="hybridMultilevel"/>
    <w:tmpl w:val="832A52A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3F6E62"/>
    <w:multiLevelType w:val="hybridMultilevel"/>
    <w:tmpl w:val="F350C9E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D4C"/>
    <w:rsid w:val="000E587B"/>
    <w:rsid w:val="00866D4C"/>
    <w:rsid w:val="00C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color w:val="000000"/>
      <w:szCs w:val="20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/>
      <w:b/>
      <w:bCs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bCs/>
      <w:color w:val="000000"/>
      <w:szCs w:val="20"/>
      <w:u w:val="single"/>
      <w:lang w:val="es-ES_tradnl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b/>
      <w:u w:val="single"/>
      <w:lang w:val="es-UY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  <w:rPr>
      <w:rFonts w:ascii="GothicPS" w:hAnsi="GothicPS"/>
      <w:b/>
      <w:color w:val="000000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GothicPS" w:hAnsi="GothicPS"/>
      <w:b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color w:val="000000"/>
      <w:szCs w:val="20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/>
      <w:b/>
      <w:bCs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bCs/>
      <w:color w:val="000000"/>
      <w:szCs w:val="20"/>
      <w:u w:val="single"/>
      <w:lang w:val="es-ES_tradnl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b/>
      <w:u w:val="single"/>
      <w:lang w:val="es-UY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  <w:rPr>
      <w:rFonts w:ascii="GothicPS" w:hAnsi="GothicPS"/>
      <w:b/>
      <w:color w:val="000000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GothicPS" w:hAnsi="GothicPS"/>
      <w:b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1723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Cuentas de la República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14258075</dc:creator>
  <cp:keywords/>
  <dc:description/>
  <cp:lastModifiedBy>Miriam Cristina Rivero</cp:lastModifiedBy>
  <cp:revision>2</cp:revision>
  <cp:lastPrinted>2014-02-10T10:02:00Z</cp:lastPrinted>
  <dcterms:created xsi:type="dcterms:W3CDTF">2014-02-10T10:03:00Z</dcterms:created>
  <dcterms:modified xsi:type="dcterms:W3CDTF">2014-02-10T10:03:00Z</dcterms:modified>
</cp:coreProperties>
</file>