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78" w:rsidRDefault="00CE72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E7278" w:rsidRDefault="00CE727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E7278" w:rsidRDefault="00CE72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E7278" w:rsidRDefault="00CE727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E7278" w:rsidRDefault="00CE72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5 DE FEBRERO DE 2014</w:t>
      </w:r>
    </w:p>
    <w:p w:rsidR="00CE7278" w:rsidRDefault="00CE72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E7278" w:rsidRPr="00CE7278" w:rsidRDefault="00CE72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CE7278">
        <w:rPr>
          <w:rFonts w:ascii="Helvetica" w:hAnsi="Helvetica"/>
          <w:b/>
          <w:lang w:val="es-UY"/>
        </w:rPr>
        <w:t xml:space="preserve">(E. E. Nº 2013-17-1-0006622, </w:t>
      </w:r>
      <w:proofErr w:type="spellStart"/>
      <w:r w:rsidRPr="00CE7278">
        <w:rPr>
          <w:rFonts w:ascii="Helvetica" w:hAnsi="Helvetica"/>
          <w:b/>
          <w:lang w:val="es-UY"/>
        </w:rPr>
        <w:t>Ent</w:t>
      </w:r>
      <w:proofErr w:type="spellEnd"/>
      <w:r w:rsidRPr="00CE7278">
        <w:rPr>
          <w:rFonts w:ascii="Helvetica" w:hAnsi="Helvetica"/>
          <w:b/>
          <w:lang w:val="es-UY"/>
        </w:rPr>
        <w:t>. N° 382/14.)</w:t>
      </w:r>
    </w:p>
    <w:p w:rsidR="00CE7278" w:rsidRPr="00CE7278" w:rsidRDefault="00CE7278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5A2991" w:rsidRDefault="00A40A3B" w:rsidP="00CE7278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  <w:bCs/>
        </w:rPr>
        <w:t xml:space="preserve"> estas actuaciones remitidas por la Intendencia de Maldonado relacionadas con la reiteración del gasto derivado de la  Licitación 07/2013, para la contratación del servicio de vigilancia y seguridad de los parques y plazas del Municipio de Maldonado</w:t>
      </w:r>
      <w:r>
        <w:rPr>
          <w:rFonts w:ascii="Arial" w:hAnsi="Arial" w:cs="Arial"/>
          <w:bCs/>
          <w:lang w:val="es-ES_tradnl"/>
        </w:rPr>
        <w:t>;</w:t>
      </w:r>
    </w:p>
    <w:p w:rsidR="005A2991" w:rsidRDefault="00A40A3B" w:rsidP="00CE7278">
      <w:pPr>
        <w:pStyle w:val="Ttulo"/>
        <w:ind w:firstLine="708"/>
        <w:jc w:val="both"/>
        <w:rPr>
          <w:rFonts w:cs="Arial"/>
          <w:b w:val="0"/>
          <w:bCs/>
          <w:u w:val="none"/>
        </w:rPr>
      </w:pPr>
      <w:r>
        <w:rPr>
          <w:rFonts w:cs="Arial"/>
          <w:bCs/>
          <w:u w:val="none"/>
        </w:rPr>
        <w:t xml:space="preserve">RESULTANDO: </w:t>
      </w:r>
      <w:r w:rsidRPr="00CE7278">
        <w:rPr>
          <w:rFonts w:cs="Arial"/>
          <w:bCs/>
          <w:u w:val="none"/>
        </w:rPr>
        <w:t>1)</w:t>
      </w:r>
      <w:r>
        <w:rPr>
          <w:rFonts w:cs="Arial"/>
          <w:b w:val="0"/>
          <w:bCs/>
          <w:u w:val="none"/>
        </w:rPr>
        <w:t xml:space="preserve"> que el Intendente por Resolución Nº 7201/2013 de fecha 18 de setiembre de 2013 dispone adjudicar ad referéndum de este Tribunal, la licitación Pública referida al S</w:t>
      </w:r>
      <w:r w:rsidR="00CE7278">
        <w:rPr>
          <w:rFonts w:cs="Arial"/>
          <w:b w:val="0"/>
          <w:bCs/>
          <w:u w:val="none"/>
        </w:rPr>
        <w:t>eño</w:t>
      </w:r>
      <w:r>
        <w:rPr>
          <w:rFonts w:cs="Arial"/>
          <w:b w:val="0"/>
          <w:bCs/>
          <w:u w:val="none"/>
        </w:rPr>
        <w:t xml:space="preserve">r Richard Daniel Correa </w:t>
      </w:r>
      <w:proofErr w:type="spellStart"/>
      <w:r>
        <w:rPr>
          <w:rFonts w:cs="Arial"/>
          <w:b w:val="0"/>
          <w:bCs/>
          <w:u w:val="none"/>
        </w:rPr>
        <w:t>Maritan</w:t>
      </w:r>
      <w:proofErr w:type="spellEnd"/>
      <w:r>
        <w:rPr>
          <w:rFonts w:cs="Arial"/>
          <w:b w:val="0"/>
          <w:bCs/>
          <w:u w:val="none"/>
        </w:rPr>
        <w:t xml:space="preserve"> el servicio de vigilancia de la Plaza San Fernando y Plaza de Cachimba del Rey-Derechos Humanos a un precio de hora –hombre de $ 170,80 impuestos incluidos y a </w:t>
      </w:r>
      <w:proofErr w:type="spellStart"/>
      <w:r>
        <w:rPr>
          <w:rFonts w:cs="Arial"/>
          <w:b w:val="0"/>
          <w:bCs/>
          <w:u w:val="none"/>
        </w:rPr>
        <w:t>Foreing</w:t>
      </w:r>
      <w:proofErr w:type="spellEnd"/>
      <w:r>
        <w:rPr>
          <w:rFonts w:cs="Arial"/>
          <w:b w:val="0"/>
          <w:bCs/>
          <w:u w:val="none"/>
        </w:rPr>
        <w:t xml:space="preserve"> Security Ltda., el servicio de vigilancia del Parque Alicia, la Plaza de Cachimba del Rey-Derechos Humanos a un precio hora-hombre de $170,00 impuestos incluidos, otorgando además un descuento del 5% quedando por lo tanto la hora-hombre de % 161,50;</w:t>
      </w:r>
    </w:p>
    <w:p w:rsidR="005A2991" w:rsidRDefault="00CE7278" w:rsidP="00CE7278">
      <w:pPr>
        <w:pStyle w:val="Ttulo"/>
        <w:ind w:firstLine="2552"/>
        <w:jc w:val="both"/>
        <w:rPr>
          <w:rFonts w:cs="Arial"/>
          <w:b w:val="0"/>
          <w:bCs/>
          <w:u w:val="none"/>
        </w:rPr>
      </w:pPr>
      <w:r>
        <w:rPr>
          <w:rFonts w:cs="Arial"/>
          <w:b w:val="0"/>
          <w:bCs/>
          <w:u w:val="none"/>
        </w:rPr>
        <w:t xml:space="preserve"> </w:t>
      </w:r>
      <w:r w:rsidR="00A40A3B">
        <w:rPr>
          <w:rFonts w:cs="Arial"/>
          <w:u w:val="none"/>
        </w:rPr>
        <w:t xml:space="preserve">2) </w:t>
      </w:r>
      <w:r w:rsidR="00A40A3B">
        <w:rPr>
          <w:rFonts w:cs="Arial"/>
          <w:b w:val="0"/>
          <w:bCs/>
          <w:u w:val="none"/>
        </w:rPr>
        <w:t xml:space="preserve">que el Tribunal de Cuentas, en </w:t>
      </w:r>
      <w:r>
        <w:rPr>
          <w:rFonts w:cs="Arial"/>
          <w:b w:val="0"/>
          <w:bCs/>
          <w:u w:val="none"/>
        </w:rPr>
        <w:t>S</w:t>
      </w:r>
      <w:r w:rsidR="00A40A3B">
        <w:rPr>
          <w:rFonts w:cs="Arial"/>
          <w:b w:val="0"/>
          <w:bCs/>
          <w:u w:val="none"/>
        </w:rPr>
        <w:t xml:space="preserve">esión de fecha 6/11/13 acordó observar el gasto por incumplimiento de los </w:t>
      </w:r>
      <w:r>
        <w:rPr>
          <w:rFonts w:cs="Arial"/>
          <w:b w:val="0"/>
          <w:bCs/>
          <w:u w:val="none"/>
        </w:rPr>
        <w:t>A</w:t>
      </w:r>
      <w:r w:rsidR="00A40A3B">
        <w:rPr>
          <w:rFonts w:cs="Arial"/>
          <w:b w:val="0"/>
          <w:bCs/>
          <w:u w:val="none"/>
        </w:rPr>
        <w:t>rt</w:t>
      </w:r>
      <w:r>
        <w:rPr>
          <w:rFonts w:cs="Arial"/>
          <w:b w:val="0"/>
          <w:bCs/>
          <w:u w:val="none"/>
        </w:rPr>
        <w:t>ículo</w:t>
      </w:r>
      <w:r w:rsidR="00A40A3B">
        <w:rPr>
          <w:rFonts w:cs="Arial"/>
          <w:b w:val="0"/>
          <w:bCs/>
          <w:u w:val="none"/>
        </w:rPr>
        <w:t>s 48 y 64 del TOCAF;</w:t>
      </w:r>
    </w:p>
    <w:p w:rsidR="005A2991" w:rsidRDefault="00CE7278" w:rsidP="00CE7278">
      <w:pPr>
        <w:pStyle w:val="Ttulo"/>
        <w:ind w:firstLine="2552"/>
        <w:jc w:val="both"/>
        <w:rPr>
          <w:rFonts w:cs="Arial"/>
          <w:b w:val="0"/>
          <w:bCs/>
          <w:u w:val="none"/>
        </w:rPr>
      </w:pPr>
      <w:r w:rsidRPr="00CE7278">
        <w:rPr>
          <w:rFonts w:cs="Arial"/>
          <w:b w:val="0"/>
          <w:bCs/>
          <w:spacing w:val="-8"/>
          <w:u w:val="none"/>
        </w:rPr>
        <w:t xml:space="preserve"> </w:t>
      </w:r>
      <w:r w:rsidR="00A40A3B" w:rsidRPr="00CE7278">
        <w:rPr>
          <w:rFonts w:cs="Arial"/>
          <w:spacing w:val="-8"/>
          <w:u w:val="none"/>
        </w:rPr>
        <w:t xml:space="preserve">3) </w:t>
      </w:r>
      <w:r w:rsidR="00A40A3B" w:rsidRPr="00CE7278">
        <w:rPr>
          <w:rFonts w:cs="Arial"/>
          <w:b w:val="0"/>
          <w:bCs/>
          <w:spacing w:val="-8"/>
          <w:u w:val="none"/>
        </w:rPr>
        <w:t xml:space="preserve">que en la oportunidad por Resolución </w:t>
      </w:r>
      <w:r w:rsidRPr="00CE7278">
        <w:rPr>
          <w:rFonts w:cs="Arial"/>
          <w:b w:val="0"/>
          <w:bCs/>
          <w:spacing w:val="-8"/>
          <w:u w:val="none"/>
        </w:rPr>
        <w:t>N</w:t>
      </w:r>
      <w:r w:rsidR="00A40A3B" w:rsidRPr="00CE7278">
        <w:rPr>
          <w:rFonts w:cs="Arial"/>
          <w:b w:val="0"/>
          <w:bCs/>
          <w:spacing w:val="-8"/>
          <w:u w:val="none"/>
        </w:rPr>
        <w:t>º</w:t>
      </w:r>
      <w:r w:rsidR="00A40A3B">
        <w:rPr>
          <w:rFonts w:cs="Arial"/>
          <w:b w:val="0"/>
          <w:bCs/>
          <w:u w:val="none"/>
        </w:rPr>
        <w:t xml:space="preserve"> 00130/2014 de fecha 9/1/14 se reitera el gasto observado por considerarse imprescindible  tratándose de servicios necesarios para salvaguardar la integridad de los bienes inmuebles de la Intendencia</w:t>
      </w:r>
      <w:r w:rsidR="009A0E87">
        <w:rPr>
          <w:rFonts w:cs="Arial"/>
          <w:b w:val="0"/>
          <w:bCs/>
          <w:u w:val="none"/>
        </w:rPr>
        <w:t>;</w:t>
      </w:r>
      <w:bookmarkStart w:id="0" w:name="_GoBack"/>
      <w:bookmarkEnd w:id="0"/>
    </w:p>
    <w:p w:rsidR="005A2991" w:rsidRDefault="00CE7278" w:rsidP="00CE7278">
      <w:pPr>
        <w:pStyle w:val="Ttulo"/>
        <w:ind w:firstLine="2552"/>
        <w:jc w:val="both"/>
        <w:rPr>
          <w:rFonts w:cs="Arial"/>
          <w:b w:val="0"/>
          <w:bCs/>
          <w:u w:val="none"/>
        </w:rPr>
      </w:pPr>
      <w:r>
        <w:rPr>
          <w:rFonts w:cs="Arial"/>
          <w:b w:val="0"/>
          <w:bCs/>
          <w:u w:val="none"/>
        </w:rPr>
        <w:t xml:space="preserve"> </w:t>
      </w:r>
      <w:r w:rsidR="00A40A3B">
        <w:rPr>
          <w:rFonts w:cs="Arial"/>
          <w:u w:val="none"/>
        </w:rPr>
        <w:t xml:space="preserve">4) </w:t>
      </w:r>
      <w:r w:rsidR="00A40A3B">
        <w:rPr>
          <w:rFonts w:cs="Arial"/>
          <w:b w:val="0"/>
          <w:bCs/>
          <w:u w:val="none"/>
        </w:rPr>
        <w:t xml:space="preserve">que asimismo se transcribe informe jurídico en donde se expresa en cuanto al incumplimiento del </w:t>
      </w:r>
      <w:r>
        <w:rPr>
          <w:rFonts w:cs="Arial"/>
          <w:b w:val="0"/>
          <w:bCs/>
          <w:u w:val="none"/>
        </w:rPr>
        <w:t>A</w:t>
      </w:r>
      <w:r w:rsidR="00A40A3B">
        <w:rPr>
          <w:rFonts w:cs="Arial"/>
          <w:b w:val="0"/>
          <w:bCs/>
          <w:u w:val="none"/>
        </w:rPr>
        <w:t>rt</w:t>
      </w:r>
      <w:r>
        <w:rPr>
          <w:rFonts w:cs="Arial"/>
          <w:b w:val="0"/>
          <w:bCs/>
          <w:u w:val="none"/>
        </w:rPr>
        <w:t>ículo</w:t>
      </w:r>
      <w:r w:rsidR="00A40A3B">
        <w:rPr>
          <w:rFonts w:cs="Arial"/>
          <w:b w:val="0"/>
          <w:bCs/>
          <w:u w:val="none"/>
        </w:rPr>
        <w:t xml:space="preserve"> 48, que los requisitos subjetivos exigidos  permiten conocer la idoneidad del oferente para hacer propuestas serias y por las que pueda responder; en tanto en lo que </w:t>
      </w:r>
      <w:proofErr w:type="gramStart"/>
      <w:r w:rsidR="00A40A3B">
        <w:rPr>
          <w:rFonts w:cs="Arial"/>
          <w:b w:val="0"/>
          <w:bCs/>
          <w:u w:val="none"/>
        </w:rPr>
        <w:lastRenderedPageBreak/>
        <w:t>refiere</w:t>
      </w:r>
      <w:proofErr w:type="gramEnd"/>
      <w:r w:rsidR="00A40A3B">
        <w:rPr>
          <w:rFonts w:cs="Arial"/>
          <w:b w:val="0"/>
          <w:bCs/>
          <w:u w:val="none"/>
        </w:rPr>
        <w:t xml:space="preserve"> al incumplimiento del </w:t>
      </w:r>
      <w:r>
        <w:rPr>
          <w:rFonts w:cs="Arial"/>
          <w:b w:val="0"/>
          <w:bCs/>
          <w:u w:val="none"/>
        </w:rPr>
        <w:t>A</w:t>
      </w:r>
      <w:r w:rsidR="00A40A3B">
        <w:rPr>
          <w:rFonts w:cs="Arial"/>
          <w:b w:val="0"/>
          <w:bCs/>
          <w:u w:val="none"/>
        </w:rPr>
        <w:t>rt</w:t>
      </w:r>
      <w:r>
        <w:rPr>
          <w:rFonts w:cs="Arial"/>
          <w:b w:val="0"/>
          <w:bCs/>
          <w:u w:val="none"/>
        </w:rPr>
        <w:t>ículo</w:t>
      </w:r>
      <w:r w:rsidR="00A40A3B">
        <w:rPr>
          <w:rFonts w:cs="Arial"/>
          <w:b w:val="0"/>
          <w:bCs/>
          <w:u w:val="none"/>
        </w:rPr>
        <w:t xml:space="preserve"> 64 se agrega que la Administración atendiendo a la particularidad del objeto licitado , y en ejercicio de su potestad discrecional, estableció un porcentual cuantitativo por concepto de garantía de oferta;</w:t>
      </w:r>
    </w:p>
    <w:p w:rsidR="005A2991" w:rsidRDefault="00A40A3B" w:rsidP="00CE7278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 xml:space="preserve">CONSIDERANDO: </w:t>
      </w:r>
      <w:r w:rsidRPr="00CE7278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lang w:val="es-MX"/>
        </w:rPr>
        <w:t xml:space="preserve"> que el Art</w:t>
      </w:r>
      <w:r w:rsidR="00CE7278">
        <w:rPr>
          <w:rFonts w:ascii="Arial" w:hAnsi="Arial" w:cs="Arial"/>
          <w:lang w:val="es-MX"/>
        </w:rPr>
        <w:t>ículo</w:t>
      </w:r>
      <w:r>
        <w:rPr>
          <w:rFonts w:ascii="Arial" w:hAnsi="Arial" w:cs="Arial"/>
          <w:lang w:val="es-MX"/>
        </w:rPr>
        <w:t xml:space="preserve"> 475 de la Ley 17.296 dispone que los Ordenadores de gastos o pagos, al ejercer la facultad de insistencia  o reiteración que les confiere el Art</w:t>
      </w:r>
      <w:r w:rsidR="00CE7278">
        <w:rPr>
          <w:rFonts w:ascii="Arial" w:hAnsi="Arial" w:cs="Arial"/>
          <w:lang w:val="es-MX"/>
        </w:rPr>
        <w:t>ículo</w:t>
      </w:r>
      <w:r>
        <w:rPr>
          <w:rFonts w:ascii="Arial" w:hAnsi="Arial" w:cs="Arial"/>
          <w:lang w:val="es-MX"/>
        </w:rPr>
        <w:t xml:space="preserve"> 211 Lit</w:t>
      </w:r>
      <w:r w:rsidR="00CE7278">
        <w:rPr>
          <w:rFonts w:ascii="Arial" w:hAnsi="Arial" w:cs="Arial"/>
          <w:lang w:val="es-MX"/>
        </w:rPr>
        <w:t>eral</w:t>
      </w:r>
      <w:r>
        <w:rPr>
          <w:rFonts w:ascii="Arial" w:hAnsi="Arial" w:cs="Arial"/>
          <w:lang w:val="es-MX"/>
        </w:rPr>
        <w:t xml:space="preserve"> B) de la Constitución de la República deberán hacerlo en forma fundada, detallando los motivos que a su juicio justifican seguir el curso del gasto o pago; </w:t>
      </w:r>
    </w:p>
    <w:p w:rsidR="005A2991" w:rsidRDefault="00A40A3B" w:rsidP="00CE7278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 w:rsidRPr="00CE7278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</w:rPr>
        <w:t xml:space="preserve"> que los argumentos esgrimidos respecto de las observaciones formuladas, no enervan los fundamentos de las mismas;</w:t>
      </w:r>
    </w:p>
    <w:p w:rsidR="005A2991" w:rsidRDefault="00A40A3B" w:rsidP="00CE7278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 w:rsidRPr="00CE7278">
        <w:rPr>
          <w:rFonts w:ascii="Arial" w:hAnsi="Arial" w:cs="Arial"/>
          <w:b/>
        </w:rPr>
        <w:t>3</w:t>
      </w:r>
      <w:r w:rsidRPr="00CE7278">
        <w:rPr>
          <w:rFonts w:ascii="Arial" w:hAnsi="Arial" w:cs="Arial"/>
          <w:b/>
          <w:lang w:val="es-MX"/>
        </w:rPr>
        <w:t>)</w:t>
      </w:r>
      <w:r>
        <w:rPr>
          <w:rFonts w:ascii="Arial" w:hAnsi="Arial" w:cs="Arial"/>
          <w:lang w:val="es-MX"/>
        </w:rPr>
        <w:t xml:space="preserve"> que se mantienen incambiadas, en consecuencia, las circunstancias de orden legal que ameritaron la observación del gasto;</w:t>
      </w:r>
    </w:p>
    <w:p w:rsidR="005A2991" w:rsidRDefault="00CE7278">
      <w:pPr>
        <w:tabs>
          <w:tab w:val="left" w:pos="720"/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A40A3B">
        <w:rPr>
          <w:rFonts w:ascii="Arial" w:hAnsi="Arial" w:cs="Arial"/>
          <w:b/>
          <w:bCs/>
        </w:rPr>
        <w:t xml:space="preserve">ATENTO: </w:t>
      </w:r>
      <w:r w:rsidR="00A40A3B">
        <w:rPr>
          <w:rFonts w:ascii="Arial" w:hAnsi="Arial" w:cs="Arial"/>
        </w:rPr>
        <w:t>a lo expuesto precedentemente;</w:t>
      </w:r>
    </w:p>
    <w:p w:rsidR="005A2991" w:rsidRDefault="00A40A3B">
      <w:pPr>
        <w:pStyle w:val="Ttulo1"/>
        <w:jc w:val="center"/>
      </w:pPr>
      <w:r>
        <w:t>EL TRIBUNAL ACUERDA</w:t>
      </w:r>
    </w:p>
    <w:p w:rsidR="005A2991" w:rsidRDefault="00A40A3B">
      <w:pPr>
        <w:pStyle w:val="Textoindependiente"/>
        <w:rPr>
          <w:u w:val="none"/>
        </w:rPr>
      </w:pPr>
      <w:r>
        <w:rPr>
          <w:b/>
          <w:bCs w:val="0"/>
          <w:u w:val="none"/>
        </w:rPr>
        <w:t xml:space="preserve">1) </w:t>
      </w:r>
      <w:r>
        <w:rPr>
          <w:u w:val="none"/>
        </w:rPr>
        <w:t xml:space="preserve">Mantener la observación formulada con fecha 6/11/13; </w:t>
      </w:r>
    </w:p>
    <w:p w:rsidR="005A2991" w:rsidRDefault="00A40A3B">
      <w:pPr>
        <w:pStyle w:val="Textoindependiente"/>
        <w:rPr>
          <w:u w:val="none"/>
        </w:rPr>
      </w:pPr>
      <w:r>
        <w:rPr>
          <w:b/>
          <w:u w:val="none"/>
        </w:rPr>
        <w:t>2)</w:t>
      </w:r>
      <w:r>
        <w:rPr>
          <w:u w:val="none"/>
        </w:rPr>
        <w:t xml:space="preserve"> Dar cuenta a la Junta Departamental; y</w:t>
      </w:r>
    </w:p>
    <w:p w:rsidR="00CE7278" w:rsidRDefault="00A40A3B">
      <w:pPr>
        <w:pStyle w:val="Textoindependiente"/>
        <w:rPr>
          <w:u w:val="none"/>
        </w:rPr>
      </w:pPr>
      <w:r w:rsidRPr="00A40A3B">
        <w:rPr>
          <w:b/>
          <w:u w:val="none"/>
        </w:rPr>
        <w:t>3)</w:t>
      </w:r>
      <w:r>
        <w:rPr>
          <w:b/>
          <w:u w:val="none"/>
        </w:rPr>
        <w:t xml:space="preserve"> </w:t>
      </w:r>
      <w:r w:rsidRPr="00A40A3B">
        <w:rPr>
          <w:u w:val="none"/>
        </w:rPr>
        <w:t>Comunicar a Organismo.</w:t>
      </w:r>
    </w:p>
    <w:p w:rsidR="00A40A3B" w:rsidRDefault="00A40A3B">
      <w:pPr>
        <w:pStyle w:val="Textoindependiente"/>
        <w:rPr>
          <w:u w:val="none"/>
        </w:rPr>
      </w:pPr>
    </w:p>
    <w:p w:rsidR="00A40A3B" w:rsidRDefault="00A40A3B">
      <w:pPr>
        <w:pStyle w:val="Textoindependiente"/>
        <w:rPr>
          <w:u w:val="none"/>
        </w:rPr>
      </w:pPr>
    </w:p>
    <w:p w:rsidR="00A40A3B" w:rsidRDefault="00A40A3B">
      <w:pPr>
        <w:pStyle w:val="Textoindependiente"/>
        <w:rPr>
          <w:u w:val="none"/>
        </w:rPr>
      </w:pPr>
    </w:p>
    <w:p w:rsidR="00A40A3B" w:rsidRPr="00A40A3B" w:rsidRDefault="00A40A3B">
      <w:pPr>
        <w:pStyle w:val="Textoindependiente"/>
        <w:rPr>
          <w:b/>
          <w:u w:val="none"/>
        </w:rPr>
      </w:pPr>
      <w:proofErr w:type="spellStart"/>
      <w:proofErr w:type="gramStart"/>
      <w:r>
        <w:rPr>
          <w:u w:val="none"/>
        </w:rPr>
        <w:t>cr</w:t>
      </w:r>
      <w:proofErr w:type="spellEnd"/>
      <w:proofErr w:type="gramEnd"/>
    </w:p>
    <w:sectPr w:rsidR="00A40A3B" w:rsidRPr="00A40A3B" w:rsidSect="00CE7278">
      <w:footerReference w:type="default" r:id="rId8"/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91" w:rsidRDefault="00A40A3B">
      <w:r>
        <w:separator/>
      </w:r>
    </w:p>
  </w:endnote>
  <w:endnote w:type="continuationSeparator" w:id="0">
    <w:p w:rsidR="005A2991" w:rsidRDefault="00A4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91" w:rsidRDefault="00A40A3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A0E87">
      <w:rPr>
        <w:noProof/>
      </w:rPr>
      <w:t>1</w:t>
    </w:r>
    <w:r>
      <w:fldChar w:fldCharType="end"/>
    </w:r>
  </w:p>
  <w:p w:rsidR="005A2991" w:rsidRDefault="005A29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91" w:rsidRDefault="00A40A3B">
      <w:r>
        <w:separator/>
      </w:r>
    </w:p>
  </w:footnote>
  <w:footnote w:type="continuationSeparator" w:id="0">
    <w:p w:rsidR="005A2991" w:rsidRDefault="00A4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A0B63"/>
    <w:multiLevelType w:val="hybridMultilevel"/>
    <w:tmpl w:val="832A52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78"/>
    <w:rsid w:val="005A2991"/>
    <w:rsid w:val="009A0E87"/>
    <w:rsid w:val="00A40A3B"/>
    <w:rsid w:val="00C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color w:val="00000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GothicPS" w:hAnsi="GothicPS"/>
      <w:b/>
      <w:color w:val="000000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GothicPS" w:hAnsi="GothicPS"/>
      <w:b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color w:val="00000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GothicPS" w:hAnsi="GothicPS"/>
      <w:b/>
      <w:color w:val="000000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GothicPS" w:hAnsi="GothicPS"/>
      <w:b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 de la República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14258075</dc:creator>
  <cp:keywords/>
  <dc:description/>
  <cp:lastModifiedBy>Miriam Cristina Rivero</cp:lastModifiedBy>
  <cp:revision>2</cp:revision>
  <cp:lastPrinted>2014-02-10T10:48:00Z</cp:lastPrinted>
  <dcterms:created xsi:type="dcterms:W3CDTF">2014-02-10T10:48:00Z</dcterms:created>
  <dcterms:modified xsi:type="dcterms:W3CDTF">2014-02-10T10:48:00Z</dcterms:modified>
</cp:coreProperties>
</file>