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13" w:rsidRPr="00750213" w:rsidRDefault="0075021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5021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50213" w:rsidRPr="00750213" w:rsidRDefault="00750213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50213" w:rsidRPr="00750213" w:rsidRDefault="0075021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5021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50213" w:rsidRPr="00750213" w:rsidRDefault="00750213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50213" w:rsidRPr="00750213" w:rsidRDefault="0075021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50213">
        <w:rPr>
          <w:rFonts w:ascii="Arial" w:hAnsi="Arial" w:cs="Arial"/>
          <w:b/>
          <w:sz w:val="24"/>
          <w:szCs w:val="24"/>
          <w:lang w:val="es-ES_tradnl"/>
        </w:rPr>
        <w:t>EN SESION DE FECHA  DE 5 DE FEBRERO DE 2014</w:t>
      </w:r>
    </w:p>
    <w:p w:rsidR="00750213" w:rsidRPr="00750213" w:rsidRDefault="0075021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50213" w:rsidRPr="00750213" w:rsidRDefault="0075021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750213">
        <w:rPr>
          <w:rFonts w:ascii="Arial" w:hAnsi="Arial" w:cs="Arial"/>
          <w:b/>
          <w:sz w:val="24"/>
          <w:szCs w:val="24"/>
          <w:lang w:val="es-UY"/>
        </w:rPr>
        <w:t xml:space="preserve">(E. E. Nº 2014-17-1-0000079, </w:t>
      </w:r>
      <w:proofErr w:type="spellStart"/>
      <w:r w:rsidRPr="00750213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750213">
        <w:rPr>
          <w:rFonts w:ascii="Arial" w:hAnsi="Arial" w:cs="Arial"/>
          <w:b/>
          <w:sz w:val="24"/>
          <w:szCs w:val="24"/>
          <w:lang w:val="es-UY"/>
        </w:rPr>
        <w:t>. N° 30/14.)</w:t>
      </w:r>
    </w:p>
    <w:p w:rsidR="00750213" w:rsidRPr="00750213" w:rsidRDefault="00750213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750213" w:rsidRPr="00750213" w:rsidRDefault="00750213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F05866" w:rsidRDefault="00F05866" w:rsidP="00750213">
      <w:pPr>
        <w:spacing w:line="360" w:lineRule="auto"/>
        <w:ind w:firstLine="708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VISTO:</w:t>
      </w:r>
      <w:r>
        <w:rPr>
          <w:rFonts w:ascii="Arial" w:hAnsi="Arial" w:cs="Arial"/>
          <w:sz w:val="24"/>
          <w:lang w:val="es-MX"/>
        </w:rPr>
        <w:t xml:space="preserve"> </w:t>
      </w:r>
      <w:r w:rsidR="00F11833">
        <w:rPr>
          <w:rFonts w:ascii="Arial" w:hAnsi="Arial" w:cs="Arial"/>
          <w:sz w:val="24"/>
          <w:lang w:val="es-MX"/>
        </w:rPr>
        <w:t>el Oficio Nº 574</w:t>
      </w:r>
      <w:r w:rsidR="00DB7305">
        <w:rPr>
          <w:rFonts w:ascii="Arial" w:hAnsi="Arial" w:cs="Arial"/>
          <w:sz w:val="24"/>
          <w:lang w:val="es-MX"/>
        </w:rPr>
        <w:t xml:space="preserve">/2013 </w:t>
      </w:r>
      <w:r w:rsidR="00750213">
        <w:rPr>
          <w:rFonts w:ascii="Arial" w:hAnsi="Arial" w:cs="Arial"/>
          <w:sz w:val="24"/>
          <w:lang w:val="es-MX"/>
        </w:rPr>
        <w:t>en</w:t>
      </w:r>
      <w:r w:rsidR="00DB7305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>actuaciones</w:t>
      </w:r>
      <w:r w:rsidR="00DB7305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 xml:space="preserve">remitidas por </w:t>
      </w:r>
      <w:r w:rsidR="00DB7305">
        <w:rPr>
          <w:rFonts w:ascii="Arial" w:hAnsi="Arial" w:cs="Arial"/>
          <w:sz w:val="24"/>
          <w:lang w:val="es-MX"/>
        </w:rPr>
        <w:t>la Junta Departamental de</w:t>
      </w:r>
      <w:r w:rsidR="00F11833">
        <w:rPr>
          <w:rFonts w:ascii="Arial" w:hAnsi="Arial" w:cs="Arial"/>
          <w:sz w:val="24"/>
          <w:lang w:val="es-MX"/>
        </w:rPr>
        <w:t xml:space="preserve"> Florida</w:t>
      </w:r>
      <w:r w:rsidR="00DB7305">
        <w:rPr>
          <w:rFonts w:ascii="Arial" w:hAnsi="Arial" w:cs="Arial"/>
          <w:sz w:val="24"/>
          <w:lang w:val="es-MX"/>
        </w:rPr>
        <w:t xml:space="preserve">, relacionadas </w:t>
      </w:r>
      <w:r w:rsidR="00143FD7">
        <w:rPr>
          <w:rFonts w:ascii="Arial" w:hAnsi="Arial" w:cs="Arial"/>
          <w:sz w:val="24"/>
          <w:lang w:val="es-MX"/>
        </w:rPr>
        <w:t xml:space="preserve"> con </w:t>
      </w:r>
      <w:r w:rsidR="00DB7305">
        <w:rPr>
          <w:rFonts w:ascii="Arial" w:hAnsi="Arial" w:cs="Arial"/>
          <w:sz w:val="24"/>
          <w:lang w:val="es-MX"/>
        </w:rPr>
        <w:t xml:space="preserve">la anuencia otorgada a la Intendencia de ese </w:t>
      </w:r>
      <w:r w:rsidR="00750213">
        <w:rPr>
          <w:rFonts w:ascii="Arial" w:hAnsi="Arial" w:cs="Arial"/>
          <w:sz w:val="24"/>
          <w:lang w:val="es-MX"/>
        </w:rPr>
        <w:t>D</w:t>
      </w:r>
      <w:r w:rsidR="00DB7305">
        <w:rPr>
          <w:rFonts w:ascii="Arial" w:hAnsi="Arial" w:cs="Arial"/>
          <w:sz w:val="24"/>
          <w:lang w:val="es-MX"/>
        </w:rPr>
        <w:t xml:space="preserve">epartamento, para la suscripción de un </w:t>
      </w:r>
      <w:r w:rsidR="007F41D5">
        <w:rPr>
          <w:rFonts w:ascii="Arial" w:hAnsi="Arial" w:cs="Arial"/>
          <w:sz w:val="24"/>
          <w:lang w:val="es-MX"/>
        </w:rPr>
        <w:t>C</w:t>
      </w:r>
      <w:r w:rsidR="00DB7305">
        <w:rPr>
          <w:rFonts w:ascii="Arial" w:hAnsi="Arial" w:cs="Arial"/>
          <w:sz w:val="24"/>
          <w:lang w:val="es-MX"/>
        </w:rPr>
        <w:t>onvenio con</w:t>
      </w:r>
      <w:r>
        <w:rPr>
          <w:rFonts w:ascii="Arial" w:hAnsi="Arial" w:cs="Arial"/>
          <w:sz w:val="24"/>
          <w:lang w:val="es-MX"/>
        </w:rPr>
        <w:t xml:space="preserve"> la Administración Nacional de Usinas y Trasmisiones Eléctricas –UTE- referente al cobro de adeudos y de Tasa de Alumbrado Público;</w:t>
      </w:r>
    </w:p>
    <w:p w:rsidR="00BB30CC" w:rsidRDefault="00F05866" w:rsidP="00750213">
      <w:pPr>
        <w:spacing w:line="360" w:lineRule="auto"/>
        <w:ind w:firstLine="708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RESULTANDO: 1)</w:t>
      </w:r>
      <w:r>
        <w:rPr>
          <w:rFonts w:ascii="Arial" w:hAnsi="Arial" w:cs="Arial"/>
          <w:sz w:val="24"/>
          <w:lang w:val="es-MX"/>
        </w:rPr>
        <w:t xml:space="preserve"> que </w:t>
      </w:r>
      <w:r w:rsidR="007258DC">
        <w:rPr>
          <w:rFonts w:ascii="Arial" w:hAnsi="Arial" w:cs="Arial"/>
          <w:sz w:val="24"/>
          <w:lang w:val="es-MX"/>
        </w:rPr>
        <w:t xml:space="preserve">como surge de la </w:t>
      </w:r>
      <w:r w:rsidR="007F41D5">
        <w:rPr>
          <w:rFonts w:ascii="Arial" w:hAnsi="Arial" w:cs="Arial"/>
          <w:sz w:val="24"/>
          <w:lang w:val="es-MX"/>
        </w:rPr>
        <w:t>C</w:t>
      </w:r>
      <w:r w:rsidR="007258DC">
        <w:rPr>
          <w:rFonts w:ascii="Arial" w:hAnsi="Arial" w:cs="Arial"/>
          <w:sz w:val="24"/>
          <w:lang w:val="es-MX"/>
        </w:rPr>
        <w:t xml:space="preserve">láusula </w:t>
      </w:r>
      <w:r w:rsidR="007F41D5">
        <w:rPr>
          <w:rFonts w:ascii="Arial" w:hAnsi="Arial" w:cs="Arial"/>
          <w:sz w:val="24"/>
          <w:lang w:val="es-MX"/>
        </w:rPr>
        <w:t>p</w:t>
      </w:r>
      <w:r w:rsidR="007258DC">
        <w:rPr>
          <w:rFonts w:ascii="Arial" w:hAnsi="Arial" w:cs="Arial"/>
          <w:sz w:val="24"/>
          <w:lang w:val="es-MX"/>
        </w:rPr>
        <w:t xml:space="preserve">rimera (Antecedentes), </w:t>
      </w:r>
      <w:r>
        <w:rPr>
          <w:rFonts w:ascii="Arial" w:hAnsi="Arial" w:cs="Arial"/>
          <w:sz w:val="24"/>
          <w:lang w:val="es-MX"/>
        </w:rPr>
        <w:t xml:space="preserve">con fecha </w:t>
      </w:r>
      <w:r w:rsidR="00F11833">
        <w:rPr>
          <w:rFonts w:ascii="Arial" w:hAnsi="Arial" w:cs="Arial"/>
          <w:sz w:val="24"/>
          <w:lang w:val="es-MX"/>
        </w:rPr>
        <w:t xml:space="preserve">28/12/2012 </w:t>
      </w:r>
      <w:r w:rsidR="00B55BCF">
        <w:rPr>
          <w:rFonts w:ascii="Arial" w:hAnsi="Arial" w:cs="Arial"/>
          <w:sz w:val="24"/>
          <w:lang w:val="es-MX"/>
        </w:rPr>
        <w:t xml:space="preserve">la Intendencia de </w:t>
      </w:r>
      <w:r w:rsidR="00F11833">
        <w:rPr>
          <w:rFonts w:ascii="Arial" w:hAnsi="Arial" w:cs="Arial"/>
          <w:sz w:val="24"/>
          <w:lang w:val="es-MX"/>
        </w:rPr>
        <w:t xml:space="preserve">Florida </w:t>
      </w:r>
      <w:r w:rsidR="00B55BCF">
        <w:rPr>
          <w:rFonts w:ascii="Arial" w:hAnsi="Arial" w:cs="Arial"/>
          <w:sz w:val="24"/>
          <w:lang w:val="es-MX"/>
        </w:rPr>
        <w:t>y UTE suscribieron un</w:t>
      </w:r>
      <w:r w:rsidR="00F11833">
        <w:rPr>
          <w:rFonts w:ascii="Arial" w:hAnsi="Arial" w:cs="Arial"/>
          <w:sz w:val="24"/>
          <w:lang w:val="es-MX"/>
        </w:rPr>
        <w:t>a</w:t>
      </w:r>
      <w:r w:rsidR="008D08CC">
        <w:rPr>
          <w:rFonts w:ascii="Arial" w:hAnsi="Arial" w:cs="Arial"/>
          <w:sz w:val="24"/>
          <w:lang w:val="es-MX"/>
        </w:rPr>
        <w:t xml:space="preserve"> </w:t>
      </w:r>
      <w:proofErr w:type="spellStart"/>
      <w:r w:rsidR="008D08CC">
        <w:rPr>
          <w:rFonts w:ascii="Arial" w:hAnsi="Arial" w:cs="Arial"/>
          <w:sz w:val="24"/>
          <w:lang w:val="es-MX"/>
        </w:rPr>
        <w:t>ad</w:t>
      </w:r>
      <w:r w:rsidR="007F41D5">
        <w:rPr>
          <w:rFonts w:ascii="Arial" w:hAnsi="Arial" w:cs="Arial"/>
          <w:sz w:val="24"/>
          <w:lang w:val="es-MX"/>
        </w:rPr>
        <w:t>d</w:t>
      </w:r>
      <w:r w:rsidR="008D08CC">
        <w:rPr>
          <w:rFonts w:ascii="Arial" w:hAnsi="Arial" w:cs="Arial"/>
          <w:sz w:val="24"/>
          <w:lang w:val="es-MX"/>
        </w:rPr>
        <w:t>enda</w:t>
      </w:r>
      <w:proofErr w:type="spellEnd"/>
      <w:r w:rsidR="00B55BCF">
        <w:rPr>
          <w:rFonts w:ascii="Arial" w:hAnsi="Arial" w:cs="Arial"/>
          <w:sz w:val="24"/>
          <w:lang w:val="es-MX"/>
        </w:rPr>
        <w:t xml:space="preserve">, en donde el Gobierno Departamental reconoció adeudar la suma de </w:t>
      </w:r>
      <w:r w:rsidR="00BB30CC">
        <w:rPr>
          <w:rFonts w:ascii="Arial" w:hAnsi="Arial" w:cs="Arial"/>
          <w:sz w:val="24"/>
          <w:lang w:val="es-MX"/>
        </w:rPr>
        <w:t>$</w:t>
      </w:r>
      <w:r w:rsidR="008D08CC">
        <w:rPr>
          <w:rFonts w:ascii="Arial" w:hAnsi="Arial" w:cs="Arial"/>
          <w:sz w:val="24"/>
          <w:lang w:val="es-MX"/>
        </w:rPr>
        <w:t xml:space="preserve"> 65</w:t>
      </w:r>
      <w:r w:rsidR="007F41D5">
        <w:rPr>
          <w:rFonts w:ascii="Arial" w:hAnsi="Arial" w:cs="Arial"/>
          <w:sz w:val="24"/>
          <w:lang w:val="es-MX"/>
        </w:rPr>
        <w:t>:</w:t>
      </w:r>
      <w:r w:rsidR="008D08CC">
        <w:rPr>
          <w:rFonts w:ascii="Arial" w:hAnsi="Arial" w:cs="Arial"/>
          <w:sz w:val="24"/>
          <w:lang w:val="es-MX"/>
        </w:rPr>
        <w:t xml:space="preserve">551.797 </w:t>
      </w:r>
      <w:r w:rsidR="00BB30CC">
        <w:rPr>
          <w:rFonts w:ascii="Arial" w:hAnsi="Arial" w:cs="Arial"/>
          <w:sz w:val="24"/>
          <w:lang w:val="es-MX"/>
        </w:rPr>
        <w:t>por concepto de consumo de energía eléctrica del alumbrado público y demás servicios eléctricos</w:t>
      </w:r>
      <w:r w:rsidR="007F41D5">
        <w:rPr>
          <w:rFonts w:ascii="Arial" w:hAnsi="Arial" w:cs="Arial"/>
          <w:sz w:val="24"/>
          <w:lang w:val="es-MX"/>
        </w:rPr>
        <w:t>,</w:t>
      </w:r>
      <w:r w:rsidR="00BB30CC">
        <w:rPr>
          <w:rFonts w:ascii="Arial" w:hAnsi="Arial" w:cs="Arial"/>
          <w:sz w:val="24"/>
          <w:lang w:val="es-MX"/>
        </w:rPr>
        <w:t xml:space="preserve"> de lo que es titular dicha</w:t>
      </w:r>
      <w:r w:rsidR="008D08CC">
        <w:rPr>
          <w:rFonts w:ascii="Arial" w:hAnsi="Arial" w:cs="Arial"/>
          <w:sz w:val="24"/>
          <w:lang w:val="es-MX"/>
        </w:rPr>
        <w:t xml:space="preserve"> Intendencia</w:t>
      </w:r>
      <w:r w:rsidR="00BB30CC">
        <w:rPr>
          <w:rFonts w:ascii="Arial" w:hAnsi="Arial" w:cs="Arial"/>
          <w:sz w:val="24"/>
          <w:lang w:val="es-MX"/>
        </w:rPr>
        <w:t xml:space="preserve">, correspondiente a facturas por consumos hasta </w:t>
      </w:r>
      <w:r w:rsidR="007F41D5">
        <w:rPr>
          <w:rFonts w:ascii="Arial" w:hAnsi="Arial" w:cs="Arial"/>
          <w:sz w:val="24"/>
          <w:lang w:val="es-MX"/>
        </w:rPr>
        <w:t>d</w:t>
      </w:r>
      <w:r w:rsidR="00BB30CC">
        <w:rPr>
          <w:rFonts w:ascii="Arial" w:hAnsi="Arial" w:cs="Arial"/>
          <w:sz w:val="24"/>
          <w:lang w:val="es-MX"/>
        </w:rPr>
        <w:t>iciembre 2010, y posteriormente con la intervención de la OPP las partes entablaron negociaciones tendientes a mejorar los términos de dicho Convenio;</w:t>
      </w:r>
    </w:p>
    <w:p w:rsidR="00BB30CC" w:rsidRDefault="00750213" w:rsidP="00750213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 </w:t>
      </w:r>
      <w:r w:rsidR="0062272D">
        <w:rPr>
          <w:rFonts w:ascii="Arial" w:hAnsi="Arial" w:cs="Arial"/>
          <w:b/>
          <w:sz w:val="24"/>
          <w:lang w:val="es-MX"/>
        </w:rPr>
        <w:t xml:space="preserve">2) </w:t>
      </w:r>
      <w:r w:rsidR="00BB30CC">
        <w:rPr>
          <w:rFonts w:ascii="Arial" w:hAnsi="Arial" w:cs="Arial"/>
          <w:sz w:val="24"/>
          <w:lang w:val="es-MX"/>
        </w:rPr>
        <w:t xml:space="preserve">que el objeto de este segundo </w:t>
      </w:r>
      <w:r w:rsidR="007F41D5">
        <w:rPr>
          <w:rFonts w:ascii="Arial" w:hAnsi="Arial" w:cs="Arial"/>
          <w:sz w:val="24"/>
          <w:lang w:val="es-MX"/>
        </w:rPr>
        <w:t>C</w:t>
      </w:r>
      <w:r w:rsidR="00BB30CC">
        <w:rPr>
          <w:rFonts w:ascii="Arial" w:hAnsi="Arial" w:cs="Arial"/>
          <w:sz w:val="24"/>
          <w:lang w:val="es-MX"/>
        </w:rPr>
        <w:t xml:space="preserve">onvenio es reestructurar la deuda establecida en el anterior, estableciendo una quita del 60%, se convierte la deuda a </w:t>
      </w:r>
      <w:r w:rsidR="007F41D5">
        <w:rPr>
          <w:rFonts w:ascii="Arial" w:hAnsi="Arial" w:cs="Arial"/>
          <w:sz w:val="24"/>
          <w:lang w:val="es-MX"/>
        </w:rPr>
        <w:t>U</w:t>
      </w:r>
      <w:r w:rsidR="00BB30CC">
        <w:rPr>
          <w:rFonts w:ascii="Arial" w:hAnsi="Arial" w:cs="Arial"/>
          <w:sz w:val="24"/>
          <w:lang w:val="es-MX"/>
        </w:rPr>
        <w:t xml:space="preserve">nidades </w:t>
      </w:r>
      <w:r w:rsidR="007F41D5">
        <w:rPr>
          <w:rFonts w:ascii="Arial" w:hAnsi="Arial" w:cs="Arial"/>
          <w:sz w:val="24"/>
          <w:lang w:val="es-MX"/>
        </w:rPr>
        <w:t>I</w:t>
      </w:r>
      <w:r w:rsidR="00BB30CC">
        <w:rPr>
          <w:rFonts w:ascii="Arial" w:hAnsi="Arial" w:cs="Arial"/>
          <w:sz w:val="24"/>
          <w:lang w:val="es-MX"/>
        </w:rPr>
        <w:t xml:space="preserve">ndexadas, se fijan nuevos plazos para el pago, se establece la tasa de interés que va a regir, se recibe la cesión de derechos y de créditos a los efectos de asegurar el cobro del crédito reestructurado y se habilita la </w:t>
      </w:r>
      <w:proofErr w:type="spellStart"/>
      <w:r w:rsidR="00BB30CC">
        <w:rPr>
          <w:rFonts w:ascii="Arial" w:hAnsi="Arial" w:cs="Arial"/>
          <w:sz w:val="24"/>
          <w:lang w:val="es-MX"/>
        </w:rPr>
        <w:t>securitización</w:t>
      </w:r>
      <w:proofErr w:type="spellEnd"/>
      <w:r w:rsidR="00BB30CC">
        <w:rPr>
          <w:rFonts w:ascii="Arial" w:hAnsi="Arial" w:cs="Arial"/>
          <w:sz w:val="24"/>
          <w:lang w:val="es-MX"/>
        </w:rPr>
        <w:t xml:space="preserve"> de los mismos</w:t>
      </w:r>
      <w:r w:rsidR="007258DC">
        <w:rPr>
          <w:rFonts w:ascii="Arial" w:hAnsi="Arial" w:cs="Arial"/>
          <w:sz w:val="24"/>
          <w:lang w:val="es-MX"/>
        </w:rPr>
        <w:t xml:space="preserve"> (Cláusula </w:t>
      </w:r>
      <w:r w:rsidR="007F41D5">
        <w:rPr>
          <w:rFonts w:ascii="Arial" w:hAnsi="Arial" w:cs="Arial"/>
          <w:sz w:val="24"/>
          <w:lang w:val="es-MX"/>
        </w:rPr>
        <w:t>s</w:t>
      </w:r>
      <w:r w:rsidR="007258DC">
        <w:rPr>
          <w:rFonts w:ascii="Arial" w:hAnsi="Arial" w:cs="Arial"/>
          <w:sz w:val="24"/>
          <w:lang w:val="es-MX"/>
        </w:rPr>
        <w:t>egunda)</w:t>
      </w:r>
      <w:r w:rsidR="00BB30CC">
        <w:rPr>
          <w:rFonts w:ascii="Arial" w:hAnsi="Arial" w:cs="Arial"/>
          <w:sz w:val="24"/>
          <w:lang w:val="es-MX"/>
        </w:rPr>
        <w:t>;</w:t>
      </w:r>
    </w:p>
    <w:p w:rsidR="00BB30CC" w:rsidRDefault="00B660D9" w:rsidP="00750213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sz w:val="24"/>
          <w:lang w:val="es-MX"/>
        </w:rPr>
      </w:pPr>
      <w:r w:rsidRPr="00B660D9">
        <w:rPr>
          <w:rFonts w:ascii="Arial" w:hAnsi="Arial" w:cs="Arial"/>
          <w:b/>
          <w:sz w:val="24"/>
          <w:lang w:val="es-MX"/>
        </w:rPr>
        <w:t>3</w:t>
      </w:r>
      <w:r w:rsidR="00F05866">
        <w:rPr>
          <w:rFonts w:ascii="Arial" w:hAnsi="Arial" w:cs="Arial"/>
          <w:b/>
          <w:bCs/>
          <w:sz w:val="24"/>
          <w:lang w:val="es-MX"/>
        </w:rPr>
        <w:t>)</w:t>
      </w:r>
      <w:r w:rsidR="00F05866">
        <w:rPr>
          <w:rFonts w:ascii="Arial" w:hAnsi="Arial" w:cs="Arial"/>
          <w:sz w:val="24"/>
          <w:lang w:val="es-MX"/>
        </w:rPr>
        <w:t xml:space="preserve"> </w:t>
      </w:r>
      <w:r w:rsidR="00BB30CC">
        <w:rPr>
          <w:rFonts w:ascii="Arial" w:hAnsi="Arial" w:cs="Arial"/>
          <w:sz w:val="24"/>
          <w:lang w:val="es-MX"/>
        </w:rPr>
        <w:t xml:space="preserve">que la deuda </w:t>
      </w:r>
      <w:r w:rsidR="007258DC">
        <w:rPr>
          <w:rFonts w:ascii="Arial" w:hAnsi="Arial" w:cs="Arial"/>
          <w:sz w:val="24"/>
          <w:lang w:val="es-MX"/>
        </w:rPr>
        <w:t>reconocida por el</w:t>
      </w:r>
      <w:r w:rsidR="00BB30CC">
        <w:rPr>
          <w:rFonts w:ascii="Arial" w:hAnsi="Arial" w:cs="Arial"/>
          <w:sz w:val="24"/>
          <w:lang w:val="es-MX"/>
        </w:rPr>
        <w:t xml:space="preserve"> Gobierno Departamental a partir de la firma el </w:t>
      </w:r>
      <w:r w:rsidR="007F41D5">
        <w:rPr>
          <w:rFonts w:ascii="Arial" w:hAnsi="Arial" w:cs="Arial"/>
          <w:sz w:val="24"/>
          <w:lang w:val="es-MX"/>
        </w:rPr>
        <w:t>C</w:t>
      </w:r>
      <w:r w:rsidR="00BB30CC">
        <w:rPr>
          <w:rFonts w:ascii="Arial" w:hAnsi="Arial" w:cs="Arial"/>
          <w:sz w:val="24"/>
          <w:lang w:val="es-MX"/>
        </w:rPr>
        <w:t xml:space="preserve">onvenio en análisis es de UI </w:t>
      </w:r>
      <w:r w:rsidR="008D08CC">
        <w:rPr>
          <w:rFonts w:ascii="Arial" w:hAnsi="Arial" w:cs="Arial"/>
          <w:sz w:val="24"/>
          <w:lang w:val="es-MX"/>
        </w:rPr>
        <w:t>10</w:t>
      </w:r>
      <w:r w:rsidR="007F41D5">
        <w:rPr>
          <w:rFonts w:ascii="Arial" w:hAnsi="Arial" w:cs="Arial"/>
          <w:sz w:val="24"/>
          <w:lang w:val="es-MX"/>
        </w:rPr>
        <w:t>:</w:t>
      </w:r>
      <w:r w:rsidR="008D08CC">
        <w:rPr>
          <w:rFonts w:ascii="Arial" w:hAnsi="Arial" w:cs="Arial"/>
          <w:sz w:val="24"/>
          <w:lang w:val="es-MX"/>
        </w:rPr>
        <w:t>131.258</w:t>
      </w:r>
      <w:r w:rsidR="007F41D5">
        <w:rPr>
          <w:rFonts w:ascii="Arial" w:hAnsi="Arial" w:cs="Arial"/>
          <w:sz w:val="24"/>
          <w:lang w:val="es-MX"/>
        </w:rPr>
        <w:t>,</w:t>
      </w:r>
      <w:r w:rsidR="00BB30CC">
        <w:rPr>
          <w:rFonts w:ascii="Arial" w:hAnsi="Arial" w:cs="Arial"/>
          <w:sz w:val="24"/>
          <w:lang w:val="es-MX"/>
        </w:rPr>
        <w:t xml:space="preserve"> </w:t>
      </w:r>
      <w:r w:rsidR="00BB30CC" w:rsidRPr="00942C5E">
        <w:rPr>
          <w:rFonts w:ascii="Arial" w:hAnsi="Arial" w:cs="Arial"/>
          <w:spacing w:val="8"/>
          <w:sz w:val="24"/>
          <w:lang w:val="es-MX"/>
        </w:rPr>
        <w:t>que será pagadera en veinte cuotas anuales y consecutivas, la primera de UI</w:t>
      </w:r>
      <w:r w:rsidR="00BB30CC">
        <w:rPr>
          <w:rFonts w:ascii="Arial" w:hAnsi="Arial" w:cs="Arial"/>
          <w:sz w:val="24"/>
          <w:lang w:val="es-MX"/>
        </w:rPr>
        <w:t xml:space="preserve"> </w:t>
      </w:r>
      <w:r w:rsidR="008D08CC">
        <w:rPr>
          <w:rFonts w:ascii="Arial" w:hAnsi="Arial" w:cs="Arial"/>
          <w:sz w:val="24"/>
          <w:lang w:val="es-MX"/>
        </w:rPr>
        <w:t>830</w:t>
      </w:r>
      <w:r w:rsidR="00BB30CC">
        <w:rPr>
          <w:rFonts w:ascii="Arial" w:hAnsi="Arial" w:cs="Arial"/>
          <w:sz w:val="24"/>
          <w:lang w:val="es-MX"/>
        </w:rPr>
        <w:t xml:space="preserve">.000 y las diecinueve restantes de UI </w:t>
      </w:r>
      <w:r w:rsidR="008D08CC">
        <w:rPr>
          <w:rFonts w:ascii="Arial" w:hAnsi="Arial" w:cs="Arial"/>
          <w:sz w:val="24"/>
          <w:lang w:val="es-MX"/>
        </w:rPr>
        <w:t>829.712</w:t>
      </w:r>
      <w:r w:rsidR="00BB30CC">
        <w:rPr>
          <w:rFonts w:ascii="Arial" w:hAnsi="Arial" w:cs="Arial"/>
          <w:sz w:val="24"/>
          <w:lang w:val="es-MX"/>
        </w:rPr>
        <w:t xml:space="preserve">, comprendiendo las </w:t>
      </w:r>
      <w:r w:rsidR="00BB30CC">
        <w:rPr>
          <w:rFonts w:ascii="Arial" w:hAnsi="Arial" w:cs="Arial"/>
          <w:sz w:val="24"/>
          <w:lang w:val="es-MX"/>
        </w:rPr>
        <w:lastRenderedPageBreak/>
        <w:t>mismas capital e intereses</w:t>
      </w:r>
      <w:r w:rsidR="00087C71">
        <w:rPr>
          <w:rFonts w:ascii="Arial" w:hAnsi="Arial" w:cs="Arial"/>
          <w:sz w:val="24"/>
          <w:lang w:val="es-MX"/>
        </w:rPr>
        <w:t>, fijándose un interés compensatorio sobre saldos que se devengará a partir del 30.09.13 a una tasa del 5% lineal anual</w:t>
      </w:r>
      <w:r w:rsidR="007258DC">
        <w:rPr>
          <w:rFonts w:ascii="Arial" w:hAnsi="Arial" w:cs="Arial"/>
          <w:sz w:val="24"/>
          <w:lang w:val="es-MX"/>
        </w:rPr>
        <w:t xml:space="preserve"> (</w:t>
      </w:r>
      <w:r w:rsidR="00573D6D">
        <w:rPr>
          <w:rFonts w:ascii="Arial" w:hAnsi="Arial" w:cs="Arial"/>
          <w:sz w:val="24"/>
          <w:lang w:val="es-MX"/>
        </w:rPr>
        <w:t>C</w:t>
      </w:r>
      <w:r w:rsidR="007258DC">
        <w:rPr>
          <w:rFonts w:ascii="Arial" w:hAnsi="Arial" w:cs="Arial"/>
          <w:sz w:val="24"/>
          <w:lang w:val="es-MX"/>
        </w:rPr>
        <w:t>láusula</w:t>
      </w:r>
      <w:r w:rsidR="00573D6D">
        <w:rPr>
          <w:rFonts w:ascii="Arial" w:hAnsi="Arial" w:cs="Arial"/>
          <w:sz w:val="24"/>
          <w:lang w:val="es-MX"/>
        </w:rPr>
        <w:t>s</w:t>
      </w:r>
      <w:r w:rsidR="007258DC">
        <w:rPr>
          <w:rFonts w:ascii="Arial" w:hAnsi="Arial" w:cs="Arial"/>
          <w:sz w:val="24"/>
          <w:lang w:val="es-MX"/>
        </w:rPr>
        <w:t xml:space="preserve"> </w:t>
      </w:r>
      <w:r w:rsidR="00573D6D">
        <w:rPr>
          <w:rFonts w:ascii="Arial" w:hAnsi="Arial" w:cs="Arial"/>
          <w:sz w:val="24"/>
          <w:lang w:val="es-MX"/>
        </w:rPr>
        <w:t>t</w:t>
      </w:r>
      <w:r w:rsidR="007258DC">
        <w:rPr>
          <w:rFonts w:ascii="Arial" w:hAnsi="Arial" w:cs="Arial"/>
          <w:sz w:val="24"/>
          <w:lang w:val="es-MX"/>
        </w:rPr>
        <w:t xml:space="preserve">ercera y </w:t>
      </w:r>
      <w:r w:rsidR="00573D6D">
        <w:rPr>
          <w:rFonts w:ascii="Arial" w:hAnsi="Arial" w:cs="Arial"/>
          <w:sz w:val="24"/>
          <w:lang w:val="es-MX"/>
        </w:rPr>
        <w:t>c</w:t>
      </w:r>
      <w:r w:rsidR="007258DC">
        <w:rPr>
          <w:rFonts w:ascii="Arial" w:hAnsi="Arial" w:cs="Arial"/>
          <w:sz w:val="24"/>
          <w:lang w:val="es-MX"/>
        </w:rPr>
        <w:t>uarta)</w:t>
      </w:r>
      <w:r w:rsidR="00BB30CC">
        <w:rPr>
          <w:rFonts w:ascii="Arial" w:hAnsi="Arial" w:cs="Arial"/>
          <w:sz w:val="24"/>
          <w:lang w:val="es-MX"/>
        </w:rPr>
        <w:t>;</w:t>
      </w:r>
    </w:p>
    <w:p w:rsidR="00E84EC0" w:rsidRDefault="00087C71" w:rsidP="00942C5E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sz w:val="24"/>
          <w:lang w:val="es-MX"/>
        </w:rPr>
      </w:pPr>
      <w:r w:rsidRPr="00FB78BF">
        <w:rPr>
          <w:rFonts w:ascii="Arial" w:hAnsi="Arial" w:cs="Arial"/>
          <w:b/>
          <w:sz w:val="24"/>
          <w:lang w:val="es-MX"/>
        </w:rPr>
        <w:t>4)</w:t>
      </w:r>
      <w:r>
        <w:rPr>
          <w:rFonts w:ascii="Arial" w:hAnsi="Arial" w:cs="Arial"/>
          <w:sz w:val="24"/>
          <w:lang w:val="es-MX"/>
        </w:rPr>
        <w:t xml:space="preserve"> </w:t>
      </w:r>
      <w:r w:rsidR="00F05866">
        <w:rPr>
          <w:rFonts w:ascii="Arial" w:hAnsi="Arial" w:cs="Arial"/>
          <w:sz w:val="24"/>
          <w:lang w:val="es-MX"/>
        </w:rPr>
        <w:t>que</w:t>
      </w:r>
      <w:r>
        <w:rPr>
          <w:rFonts w:ascii="Arial" w:hAnsi="Arial" w:cs="Arial"/>
          <w:sz w:val="24"/>
          <w:lang w:val="es-MX"/>
        </w:rPr>
        <w:t xml:space="preserve"> para el pago del crédito reestructurado</w:t>
      </w:r>
      <w:r w:rsidR="00F05866">
        <w:rPr>
          <w:rFonts w:ascii="Arial" w:hAnsi="Arial" w:cs="Arial"/>
          <w:sz w:val="24"/>
          <w:lang w:val="es-MX"/>
        </w:rPr>
        <w:t xml:space="preserve"> la Intendencia </w:t>
      </w:r>
      <w:r>
        <w:rPr>
          <w:rFonts w:ascii="Arial" w:hAnsi="Arial" w:cs="Arial"/>
          <w:sz w:val="24"/>
          <w:lang w:val="es-MX"/>
        </w:rPr>
        <w:t xml:space="preserve">cede y transfiere el total de beneficios establecidos en el </w:t>
      </w:r>
      <w:r w:rsidR="00942C5E">
        <w:rPr>
          <w:rFonts w:ascii="Arial" w:hAnsi="Arial" w:cs="Arial"/>
          <w:sz w:val="24"/>
          <w:lang w:val="es-MX"/>
        </w:rPr>
        <w:t>A</w:t>
      </w:r>
      <w:r>
        <w:rPr>
          <w:rFonts w:ascii="Arial" w:hAnsi="Arial" w:cs="Arial"/>
          <w:sz w:val="24"/>
          <w:lang w:val="es-MX"/>
        </w:rPr>
        <w:t>rtículo 12 de la Ley 18.860 recibidos desde el MEF, hasta los importes necesarios para la cancelación total del crédito, acordándose que si hubiere excedentes los mismos serán transferidos a la Intendencia dentro de un plazo máximo de tres días hábiles</w:t>
      </w:r>
      <w:r w:rsidR="007258DC">
        <w:rPr>
          <w:rFonts w:ascii="Arial" w:hAnsi="Arial" w:cs="Arial"/>
          <w:sz w:val="24"/>
          <w:lang w:val="es-MX"/>
        </w:rPr>
        <w:t xml:space="preserve"> (Cláusula </w:t>
      </w:r>
      <w:r w:rsidR="00573D6D">
        <w:rPr>
          <w:rFonts w:ascii="Arial" w:hAnsi="Arial" w:cs="Arial"/>
          <w:sz w:val="24"/>
          <w:lang w:val="es-MX"/>
        </w:rPr>
        <w:t>q</w:t>
      </w:r>
      <w:r w:rsidR="007258DC">
        <w:rPr>
          <w:rFonts w:ascii="Arial" w:hAnsi="Arial" w:cs="Arial"/>
          <w:sz w:val="24"/>
          <w:lang w:val="es-MX"/>
        </w:rPr>
        <w:t>uinta)</w:t>
      </w:r>
      <w:r>
        <w:rPr>
          <w:rFonts w:ascii="Arial" w:hAnsi="Arial" w:cs="Arial"/>
          <w:sz w:val="24"/>
          <w:lang w:val="es-MX"/>
        </w:rPr>
        <w:t>;</w:t>
      </w:r>
    </w:p>
    <w:p w:rsidR="00636984" w:rsidRDefault="00636984" w:rsidP="00942C5E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sz w:val="24"/>
          <w:lang w:val="es-MX"/>
        </w:rPr>
      </w:pPr>
      <w:r w:rsidRPr="00FB78BF">
        <w:rPr>
          <w:rFonts w:ascii="Arial" w:hAnsi="Arial" w:cs="Arial"/>
          <w:b/>
          <w:sz w:val="24"/>
          <w:lang w:val="es-MX"/>
        </w:rPr>
        <w:t>5)</w:t>
      </w:r>
      <w:r>
        <w:rPr>
          <w:rFonts w:ascii="Arial" w:hAnsi="Arial" w:cs="Arial"/>
          <w:sz w:val="24"/>
          <w:lang w:val="es-MX"/>
        </w:rPr>
        <w:t xml:space="preserve"> que se acuerda además, que para el caso que los importes recibidos del MEF no cubran la cuota anual de cancelación de la deuda reestructurada y sus eventuales acrecidas, el Gobierno Departamental cede, en forma irrevocable y en carácter subsidiario, hasta el 10% anual de los fondos provenientes del Fideicomiso SUCIVE, y la cobranza descentralizada que es realizada por medio de los agentes recaudadores </w:t>
      </w:r>
      <w:proofErr w:type="spellStart"/>
      <w:r>
        <w:rPr>
          <w:rFonts w:ascii="Arial" w:hAnsi="Arial" w:cs="Arial"/>
          <w:sz w:val="24"/>
          <w:lang w:val="es-MX"/>
        </w:rPr>
        <w:t>Nummi</w:t>
      </w:r>
      <w:proofErr w:type="spellEnd"/>
      <w:r>
        <w:rPr>
          <w:rFonts w:ascii="Arial" w:hAnsi="Arial" w:cs="Arial"/>
          <w:sz w:val="24"/>
          <w:lang w:val="es-MX"/>
        </w:rPr>
        <w:t xml:space="preserve"> S.A. (Red Pagos), </w:t>
      </w:r>
      <w:proofErr w:type="spellStart"/>
      <w:r>
        <w:rPr>
          <w:rFonts w:ascii="Arial" w:hAnsi="Arial" w:cs="Arial"/>
          <w:sz w:val="24"/>
          <w:lang w:val="es-MX"/>
        </w:rPr>
        <w:t>Abitab</w:t>
      </w:r>
      <w:proofErr w:type="spellEnd"/>
      <w:r>
        <w:rPr>
          <w:rFonts w:ascii="Arial" w:hAnsi="Arial" w:cs="Arial"/>
          <w:sz w:val="24"/>
          <w:lang w:val="es-MX"/>
        </w:rPr>
        <w:t xml:space="preserve"> S.A., El Correo en ese orden, debiéndose darse noticia a la Intendencia en caso que sea necesario percibir importes de estas garantías subsidiarias</w:t>
      </w:r>
      <w:r w:rsidR="00FB78BF">
        <w:rPr>
          <w:rFonts w:ascii="Arial" w:hAnsi="Arial" w:cs="Arial"/>
          <w:sz w:val="24"/>
          <w:lang w:val="es-MX"/>
        </w:rPr>
        <w:t xml:space="preserve"> (Cláusula </w:t>
      </w:r>
      <w:r w:rsidR="00573D6D">
        <w:rPr>
          <w:rFonts w:ascii="Arial" w:hAnsi="Arial" w:cs="Arial"/>
          <w:sz w:val="24"/>
          <w:lang w:val="es-MX"/>
        </w:rPr>
        <w:t>q</w:t>
      </w:r>
      <w:r w:rsidR="00FB78BF">
        <w:rPr>
          <w:rFonts w:ascii="Arial" w:hAnsi="Arial" w:cs="Arial"/>
          <w:sz w:val="24"/>
          <w:lang w:val="es-MX"/>
        </w:rPr>
        <w:t>uinta)</w:t>
      </w:r>
      <w:r w:rsidR="007258DC">
        <w:rPr>
          <w:rFonts w:ascii="Arial" w:hAnsi="Arial" w:cs="Arial"/>
          <w:sz w:val="24"/>
          <w:lang w:val="es-MX"/>
        </w:rPr>
        <w:t>, quedando a cargo de UTE la notificación de las cesiones a los cedidos</w:t>
      </w:r>
      <w:r w:rsidR="00573D6D">
        <w:rPr>
          <w:rFonts w:ascii="Arial" w:hAnsi="Arial" w:cs="Arial"/>
          <w:sz w:val="24"/>
          <w:lang w:val="es-MX"/>
        </w:rPr>
        <w:t>,</w:t>
      </w:r>
      <w:r w:rsidR="007258DC">
        <w:rPr>
          <w:rFonts w:ascii="Arial" w:hAnsi="Arial" w:cs="Arial"/>
          <w:sz w:val="24"/>
          <w:lang w:val="es-MX"/>
        </w:rPr>
        <w:t xml:space="preserve"> MEF y los agentes recaudadores mencionados (Cláusula </w:t>
      </w:r>
      <w:r w:rsidR="00573D6D">
        <w:rPr>
          <w:rFonts w:ascii="Arial" w:hAnsi="Arial" w:cs="Arial"/>
          <w:sz w:val="24"/>
          <w:lang w:val="es-MX"/>
        </w:rPr>
        <w:t>s</w:t>
      </w:r>
      <w:r w:rsidR="007258DC">
        <w:rPr>
          <w:rFonts w:ascii="Arial" w:hAnsi="Arial" w:cs="Arial"/>
          <w:sz w:val="24"/>
          <w:lang w:val="es-MX"/>
        </w:rPr>
        <w:t>éptima)</w:t>
      </w:r>
      <w:r>
        <w:rPr>
          <w:rFonts w:ascii="Arial" w:hAnsi="Arial" w:cs="Arial"/>
          <w:sz w:val="24"/>
          <w:lang w:val="es-MX"/>
        </w:rPr>
        <w:t>;</w:t>
      </w:r>
    </w:p>
    <w:p w:rsidR="00FB78BF" w:rsidRDefault="00FB78BF" w:rsidP="00942C5E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sz w:val="24"/>
          <w:lang w:val="es-MX"/>
        </w:rPr>
      </w:pPr>
      <w:r w:rsidRPr="00FB78BF">
        <w:rPr>
          <w:rFonts w:ascii="Arial" w:hAnsi="Arial" w:cs="Arial"/>
          <w:b/>
          <w:sz w:val="24"/>
          <w:lang w:val="es-MX"/>
        </w:rPr>
        <w:t>6)</w:t>
      </w:r>
      <w:r>
        <w:rPr>
          <w:rFonts w:ascii="Arial" w:hAnsi="Arial" w:cs="Arial"/>
          <w:b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>que</w:t>
      </w:r>
      <w:r>
        <w:rPr>
          <w:rFonts w:ascii="Arial" w:hAnsi="Arial" w:cs="Arial"/>
          <w:b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 xml:space="preserve">en la Cláusula </w:t>
      </w:r>
      <w:r w:rsidR="00573D6D">
        <w:rPr>
          <w:rFonts w:ascii="Arial" w:hAnsi="Arial" w:cs="Arial"/>
          <w:sz w:val="24"/>
          <w:lang w:val="es-MX"/>
        </w:rPr>
        <w:t>s</w:t>
      </w:r>
      <w:r>
        <w:rPr>
          <w:rFonts w:ascii="Arial" w:hAnsi="Arial" w:cs="Arial"/>
          <w:sz w:val="24"/>
          <w:lang w:val="es-MX"/>
        </w:rPr>
        <w:t xml:space="preserve">exta del </w:t>
      </w:r>
      <w:r w:rsidR="00573D6D">
        <w:rPr>
          <w:rFonts w:ascii="Arial" w:hAnsi="Arial" w:cs="Arial"/>
          <w:sz w:val="24"/>
          <w:lang w:val="es-MX"/>
        </w:rPr>
        <w:t>C</w:t>
      </w:r>
      <w:r>
        <w:rPr>
          <w:rFonts w:ascii="Arial" w:hAnsi="Arial" w:cs="Arial"/>
          <w:sz w:val="24"/>
          <w:lang w:val="es-MX"/>
        </w:rPr>
        <w:t>onvenio la Intendencia declara que a la fecha el monto de la cesión de beneficios, derechos y créditos para el pago del acuerdo es suficiente, sin afectar considerablemente su presupuesto de gastos y costos operativos, y que la cesión de los créditos se encuentra libre de afectaciones y gravámenes, renunciando la Intendencia durante e</w:t>
      </w:r>
      <w:r w:rsidR="00573D6D">
        <w:rPr>
          <w:rFonts w:ascii="Arial" w:hAnsi="Arial" w:cs="Arial"/>
          <w:sz w:val="24"/>
          <w:lang w:val="es-MX"/>
        </w:rPr>
        <w:t>l plazo de vigencia del acuerdo</w:t>
      </w:r>
      <w:r>
        <w:rPr>
          <w:rFonts w:ascii="Arial" w:hAnsi="Arial" w:cs="Arial"/>
          <w:sz w:val="24"/>
          <w:lang w:val="es-MX"/>
        </w:rPr>
        <w:t xml:space="preserve"> a modificar los contratos con el Fideicomiso SUCIVE y los agentes recaudadores en términos que afectare el pago del crédito reestructurado, obligándose la Administración asimismo, a incluir en eventuales futuros contratos de </w:t>
      </w:r>
      <w:r w:rsidR="009936A3">
        <w:rPr>
          <w:rFonts w:ascii="Arial" w:hAnsi="Arial" w:cs="Arial"/>
          <w:sz w:val="24"/>
          <w:lang w:val="es-MX"/>
        </w:rPr>
        <w:lastRenderedPageBreak/>
        <w:t>recaudación</w:t>
      </w:r>
      <w:r>
        <w:rPr>
          <w:rFonts w:ascii="Arial" w:hAnsi="Arial" w:cs="Arial"/>
          <w:sz w:val="24"/>
          <w:lang w:val="es-MX"/>
        </w:rPr>
        <w:t xml:space="preserve"> l</w:t>
      </w:r>
      <w:r w:rsidR="009936A3">
        <w:rPr>
          <w:rFonts w:ascii="Arial" w:hAnsi="Arial" w:cs="Arial"/>
          <w:sz w:val="24"/>
          <w:lang w:val="es-MX"/>
        </w:rPr>
        <w:t>as mismas estipulaciones de la C</w:t>
      </w:r>
      <w:r>
        <w:rPr>
          <w:rFonts w:ascii="Arial" w:hAnsi="Arial" w:cs="Arial"/>
          <w:sz w:val="24"/>
          <w:lang w:val="es-MX"/>
        </w:rPr>
        <w:t>láusula referida en este Resultando;</w:t>
      </w:r>
    </w:p>
    <w:p w:rsidR="00420DBD" w:rsidRDefault="00995106" w:rsidP="00942C5E">
      <w:pPr>
        <w:tabs>
          <w:tab w:val="left" w:pos="1843"/>
        </w:tabs>
        <w:spacing w:line="360" w:lineRule="auto"/>
        <w:ind w:firstLine="2694"/>
        <w:jc w:val="both"/>
      </w:pPr>
      <w:r w:rsidRPr="00995106">
        <w:rPr>
          <w:rFonts w:ascii="Arial" w:hAnsi="Arial" w:cs="Arial"/>
          <w:b/>
          <w:sz w:val="24"/>
          <w:lang w:val="es-MX"/>
        </w:rPr>
        <w:t>7)</w:t>
      </w:r>
      <w:r>
        <w:rPr>
          <w:rFonts w:ascii="Arial" w:hAnsi="Arial" w:cs="Arial"/>
          <w:b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 xml:space="preserve">que UTE podrá securitizar los créditos de este acuerdo, transfiriendo el crédito reestructurado y los accesorios referidos en la </w:t>
      </w:r>
      <w:r w:rsidR="00D656B3">
        <w:rPr>
          <w:rFonts w:ascii="Arial" w:hAnsi="Arial" w:cs="Arial"/>
          <w:sz w:val="24"/>
          <w:lang w:val="es-MX"/>
        </w:rPr>
        <w:t>C</w:t>
      </w:r>
      <w:r>
        <w:rPr>
          <w:rFonts w:ascii="Arial" w:hAnsi="Arial" w:cs="Arial"/>
          <w:sz w:val="24"/>
          <w:lang w:val="es-MX"/>
        </w:rPr>
        <w:t xml:space="preserve">láusula </w:t>
      </w:r>
      <w:r w:rsidR="00D656B3">
        <w:rPr>
          <w:rFonts w:ascii="Arial" w:hAnsi="Arial" w:cs="Arial"/>
          <w:sz w:val="24"/>
          <w:lang w:val="es-MX"/>
        </w:rPr>
        <w:t>q</w:t>
      </w:r>
      <w:r>
        <w:rPr>
          <w:rFonts w:ascii="Arial" w:hAnsi="Arial" w:cs="Arial"/>
          <w:sz w:val="24"/>
          <w:lang w:val="es-MX"/>
        </w:rPr>
        <w:t>uinta del contrato a un fideicomiso financi</w:t>
      </w:r>
      <w:r w:rsidRPr="00971F50">
        <w:rPr>
          <w:rFonts w:ascii="Arial" w:hAnsi="Arial" w:cs="Arial"/>
          <w:sz w:val="24"/>
          <w:lang w:val="es-MX"/>
        </w:rPr>
        <w:t xml:space="preserve">ero, y en caso que la emisión de oferta pública no logre recuperar íntegramente la deuda reestructurada y </w:t>
      </w:r>
      <w:r w:rsidR="00D656B3">
        <w:rPr>
          <w:rFonts w:ascii="Arial" w:hAnsi="Arial" w:cs="Arial"/>
          <w:sz w:val="24"/>
          <w:lang w:val="es-MX"/>
        </w:rPr>
        <w:t>é</w:t>
      </w:r>
      <w:r w:rsidRPr="00971F50">
        <w:rPr>
          <w:rFonts w:ascii="Arial" w:hAnsi="Arial" w:cs="Arial"/>
          <w:sz w:val="24"/>
          <w:lang w:val="es-MX"/>
        </w:rPr>
        <w:t xml:space="preserve">l Fideicomiso se rescinda, el acuerdo en análisis y las cesiones de créditos por </w:t>
      </w:r>
      <w:r w:rsidR="00D656B3">
        <w:rPr>
          <w:rFonts w:ascii="Arial" w:hAnsi="Arial" w:cs="Arial"/>
          <w:sz w:val="24"/>
          <w:lang w:val="es-MX"/>
        </w:rPr>
        <w:t>é</w:t>
      </w:r>
      <w:r w:rsidRPr="00971F50">
        <w:rPr>
          <w:rFonts w:ascii="Arial" w:hAnsi="Arial" w:cs="Arial"/>
          <w:sz w:val="24"/>
          <w:lang w:val="es-MX"/>
        </w:rPr>
        <w:t>l operadas, mantendrán total vigencia;</w:t>
      </w:r>
    </w:p>
    <w:p w:rsidR="00420DBD" w:rsidRDefault="00031E8F" w:rsidP="00942C5E">
      <w:pPr>
        <w:pStyle w:val="Textoindependiente"/>
        <w:tabs>
          <w:tab w:val="left" w:pos="1560"/>
        </w:tabs>
        <w:ind w:firstLine="2694"/>
      </w:pPr>
      <w:r w:rsidRPr="00031E8F">
        <w:rPr>
          <w:b/>
        </w:rPr>
        <w:t>8)</w:t>
      </w:r>
      <w:r w:rsidR="008D08CC">
        <w:t xml:space="preserve"> que con fecha 23/12/2013 </w:t>
      </w:r>
      <w:r w:rsidR="00420DBD">
        <w:t xml:space="preserve">el Intendente remitió a consideración de la Junta el proyecto de acuerdo a suscribir </w:t>
      </w:r>
      <w:r w:rsidR="00D656B3">
        <w:t>por</w:t>
      </w:r>
      <w:r w:rsidR="00420DBD">
        <w:t xml:space="preserve"> la Intendencia y UTE, solicitando la anuencia del Legislativo </w:t>
      </w:r>
      <w:r w:rsidR="0039784A">
        <w:t>para su suscripción;</w:t>
      </w:r>
    </w:p>
    <w:p w:rsidR="00420DBD" w:rsidRDefault="00031E8F" w:rsidP="00942C5E">
      <w:pPr>
        <w:pStyle w:val="Textoindependiente"/>
        <w:tabs>
          <w:tab w:val="left" w:pos="1560"/>
        </w:tabs>
        <w:ind w:firstLine="2694"/>
      </w:pPr>
      <w:r w:rsidRPr="00942C5E">
        <w:rPr>
          <w:b/>
          <w:spacing w:val="16"/>
        </w:rPr>
        <w:t>9)</w:t>
      </w:r>
      <w:r w:rsidR="00420DBD" w:rsidRPr="00942C5E">
        <w:rPr>
          <w:spacing w:val="16"/>
        </w:rPr>
        <w:t xml:space="preserve"> que la Junta Departamental por </w:t>
      </w:r>
      <w:r w:rsidR="008D08CC" w:rsidRPr="00942C5E">
        <w:rPr>
          <w:spacing w:val="16"/>
        </w:rPr>
        <w:t>Resolución Nº</w:t>
      </w:r>
      <w:r w:rsidR="008D08CC">
        <w:t xml:space="preserve"> 55/13 </w:t>
      </w:r>
      <w:r w:rsidR="00420DBD">
        <w:t xml:space="preserve">de fecha 26.12.13, dispuso conceder la anuencia a la Intendencia para suscribir el </w:t>
      </w:r>
      <w:r w:rsidR="00D656B3">
        <w:t>C</w:t>
      </w:r>
      <w:r w:rsidR="00420DBD">
        <w:t xml:space="preserve">onvenio ad referéndum del </w:t>
      </w:r>
      <w:r w:rsidR="00F4104D">
        <w:t xml:space="preserve">pronunciamiento del </w:t>
      </w:r>
      <w:r w:rsidR="00420DBD">
        <w:t>Tribunal de Cuentas</w:t>
      </w:r>
      <w:r w:rsidR="00F4104D">
        <w:t xml:space="preserve">, por </w:t>
      </w:r>
      <w:r w:rsidR="00B55BCF">
        <w:t>una</w:t>
      </w:r>
      <w:r w:rsidR="008D08CC">
        <w:t>nimidad de 30</w:t>
      </w:r>
      <w:r w:rsidR="00F4104D">
        <w:t xml:space="preserve"> Ediles presentes;</w:t>
      </w:r>
    </w:p>
    <w:p w:rsidR="009F1E93" w:rsidRPr="009F1E93" w:rsidRDefault="00F05866" w:rsidP="00942C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9F1E93">
        <w:rPr>
          <w:rFonts w:ascii="Arial" w:hAnsi="Arial" w:cs="Arial"/>
          <w:b/>
          <w:sz w:val="24"/>
          <w:szCs w:val="24"/>
        </w:rPr>
        <w:t>CONSIDERANDO:</w:t>
      </w:r>
      <w:r w:rsidRPr="009F1E93">
        <w:rPr>
          <w:rFonts w:ascii="Arial" w:hAnsi="Arial" w:cs="Arial"/>
          <w:sz w:val="24"/>
          <w:szCs w:val="24"/>
        </w:rPr>
        <w:t xml:space="preserve"> </w:t>
      </w:r>
      <w:r w:rsidRPr="009F1E93">
        <w:rPr>
          <w:rFonts w:ascii="Arial" w:hAnsi="Arial" w:cs="Arial"/>
          <w:b/>
          <w:bCs/>
          <w:sz w:val="24"/>
          <w:szCs w:val="24"/>
        </w:rPr>
        <w:t>1)</w:t>
      </w:r>
      <w:r w:rsidR="009F1E93" w:rsidRPr="009F1E93">
        <w:rPr>
          <w:rFonts w:ascii="Arial" w:hAnsi="Arial" w:cs="Arial"/>
          <w:b/>
          <w:bCs/>
          <w:sz w:val="24"/>
          <w:szCs w:val="24"/>
        </w:rPr>
        <w:t xml:space="preserve"> </w:t>
      </w:r>
      <w:r w:rsidR="009F1E93" w:rsidRPr="009F1E93">
        <w:rPr>
          <w:rFonts w:ascii="Arial" w:hAnsi="Arial" w:cs="Arial"/>
          <w:sz w:val="24"/>
          <w:szCs w:val="24"/>
          <w:lang w:val="es-MX"/>
        </w:rPr>
        <w:t xml:space="preserve">que el </w:t>
      </w:r>
      <w:r w:rsidR="00942C5E">
        <w:rPr>
          <w:rFonts w:ascii="Arial" w:hAnsi="Arial" w:cs="Arial"/>
          <w:sz w:val="24"/>
          <w:szCs w:val="24"/>
          <w:lang w:val="es-MX"/>
        </w:rPr>
        <w:t>A</w:t>
      </w:r>
      <w:r w:rsidR="009F1E93" w:rsidRPr="009F1E93">
        <w:rPr>
          <w:rFonts w:ascii="Arial" w:hAnsi="Arial" w:cs="Arial"/>
          <w:sz w:val="24"/>
          <w:szCs w:val="24"/>
          <w:lang w:val="es-MX"/>
        </w:rPr>
        <w:t>rt</w:t>
      </w:r>
      <w:r w:rsidR="00942C5E">
        <w:rPr>
          <w:rFonts w:ascii="Arial" w:hAnsi="Arial" w:cs="Arial"/>
          <w:sz w:val="24"/>
          <w:szCs w:val="24"/>
          <w:lang w:val="es-MX"/>
        </w:rPr>
        <w:t>ículo</w:t>
      </w:r>
      <w:r w:rsidR="009F1E93" w:rsidRPr="009F1E93">
        <w:rPr>
          <w:rFonts w:ascii="Arial" w:hAnsi="Arial" w:cs="Arial"/>
          <w:sz w:val="24"/>
          <w:szCs w:val="24"/>
          <w:lang w:val="es-MX"/>
        </w:rPr>
        <w:t xml:space="preserve"> 34 de la Ley Nº 17.243 dispone que en los Departamentos en los que la Intendencia adeude el equivalente a cuatro o más meses de consumo de energía eléctrica correspondiente al servicio de alumbrado público, UTE podrá subrogarse en el cobro realizándolo directamente a sus clientes domiciliarios</w:t>
      </w:r>
      <w:r w:rsidR="00D656B3">
        <w:rPr>
          <w:rFonts w:ascii="Arial" w:hAnsi="Arial" w:cs="Arial"/>
          <w:sz w:val="24"/>
          <w:szCs w:val="24"/>
          <w:lang w:val="es-MX"/>
        </w:rPr>
        <w:t>.  L</w:t>
      </w:r>
      <w:r w:rsidR="009F1E93" w:rsidRPr="009F1E93">
        <w:rPr>
          <w:rFonts w:ascii="Arial" w:hAnsi="Arial" w:cs="Arial"/>
          <w:sz w:val="24"/>
          <w:szCs w:val="24"/>
          <w:lang w:val="es-MX"/>
        </w:rPr>
        <w:t>os pagos compensan igual importe de la tasa municipal correspondiente y su cobro será conjunto con la factura de suministro eléctrico integrando un único pago indivisible, no correspondiendo el pago en las zonas que carezcan de servicios;</w:t>
      </w:r>
    </w:p>
    <w:p w:rsidR="00B55BCF" w:rsidRDefault="009F1E93" w:rsidP="00942C5E">
      <w:pPr>
        <w:spacing w:line="360" w:lineRule="auto"/>
        <w:ind w:firstLine="2835"/>
        <w:jc w:val="both"/>
        <w:rPr>
          <w:rFonts w:ascii="Arial" w:hAnsi="Arial" w:cs="Arial"/>
          <w:sz w:val="24"/>
          <w:lang w:val="es-MX"/>
        </w:rPr>
      </w:pPr>
      <w:r w:rsidRPr="009F1E93">
        <w:rPr>
          <w:rFonts w:ascii="Arial" w:hAnsi="Arial" w:cs="Arial"/>
          <w:b/>
          <w:bCs/>
          <w:sz w:val="24"/>
          <w:szCs w:val="24"/>
          <w:lang w:val="es-MX"/>
        </w:rPr>
        <w:t>2)</w:t>
      </w:r>
      <w:r w:rsidRPr="009F1E93">
        <w:rPr>
          <w:rFonts w:ascii="Arial" w:hAnsi="Arial" w:cs="Arial"/>
          <w:sz w:val="24"/>
          <w:szCs w:val="24"/>
          <w:lang w:val="es-MX"/>
        </w:rPr>
        <w:t xml:space="preserve"> que por su parte, el </w:t>
      </w:r>
      <w:r w:rsidR="00040E02">
        <w:rPr>
          <w:rFonts w:ascii="Arial" w:hAnsi="Arial" w:cs="Arial"/>
          <w:sz w:val="24"/>
          <w:szCs w:val="24"/>
          <w:lang w:val="es-MX"/>
        </w:rPr>
        <w:t>A</w:t>
      </w:r>
      <w:r w:rsidRPr="009F1E93">
        <w:rPr>
          <w:rFonts w:ascii="Arial" w:hAnsi="Arial" w:cs="Arial"/>
          <w:sz w:val="24"/>
          <w:szCs w:val="24"/>
          <w:lang w:val="es-MX"/>
        </w:rPr>
        <w:t>rt</w:t>
      </w:r>
      <w:r w:rsidR="00040E02">
        <w:rPr>
          <w:rFonts w:ascii="Arial" w:hAnsi="Arial" w:cs="Arial"/>
          <w:sz w:val="24"/>
          <w:szCs w:val="24"/>
          <w:lang w:val="es-MX"/>
        </w:rPr>
        <w:t>ículo</w:t>
      </w:r>
      <w:r w:rsidRPr="009F1E93">
        <w:rPr>
          <w:rFonts w:ascii="Arial" w:hAnsi="Arial" w:cs="Arial"/>
          <w:sz w:val="24"/>
          <w:szCs w:val="24"/>
          <w:lang w:val="es-MX"/>
        </w:rPr>
        <w:t xml:space="preserve"> 35 del mismo texto legal establece que UTE podrá efectuar el servicio público de</w:t>
      </w:r>
      <w:r>
        <w:rPr>
          <w:rFonts w:ascii="Arial" w:hAnsi="Arial" w:cs="Arial"/>
          <w:sz w:val="24"/>
          <w:lang w:val="es-MX"/>
        </w:rPr>
        <w:t xml:space="preserve"> alumbrado de ciudades, villas, pueblos y centros poblados, siendo responsable de la instalación con todos sus elementos y el mantenimiento que posibilite una prestación adecuada del servicio, lo que será aplicable en los casos en que las Intendencias manifiesten conformidad pudiendo además, acordar otras formas </w:t>
      </w:r>
      <w:r>
        <w:rPr>
          <w:rFonts w:ascii="Arial" w:hAnsi="Arial" w:cs="Arial"/>
          <w:sz w:val="24"/>
          <w:lang w:val="es-MX"/>
        </w:rPr>
        <w:lastRenderedPageBreak/>
        <w:t xml:space="preserve">de participación y colaboración, al amparo del </w:t>
      </w:r>
      <w:r w:rsidR="00040E02">
        <w:rPr>
          <w:rFonts w:ascii="Arial" w:hAnsi="Arial" w:cs="Arial"/>
          <w:sz w:val="24"/>
          <w:lang w:val="es-MX"/>
        </w:rPr>
        <w:t>A</w:t>
      </w:r>
      <w:r>
        <w:rPr>
          <w:rFonts w:ascii="Arial" w:hAnsi="Arial" w:cs="Arial"/>
          <w:sz w:val="24"/>
          <w:lang w:val="es-MX"/>
        </w:rPr>
        <w:t>rt</w:t>
      </w:r>
      <w:r w:rsidR="00040E02">
        <w:rPr>
          <w:rFonts w:ascii="Arial" w:hAnsi="Arial" w:cs="Arial"/>
          <w:sz w:val="24"/>
          <w:lang w:val="es-MX"/>
        </w:rPr>
        <w:t>ículo</w:t>
      </w:r>
      <w:r>
        <w:rPr>
          <w:rFonts w:ascii="Arial" w:hAnsi="Arial" w:cs="Arial"/>
          <w:sz w:val="24"/>
          <w:lang w:val="es-MX"/>
        </w:rPr>
        <w:t xml:space="preserve"> 262 de la Constitución de la República;</w:t>
      </w:r>
    </w:p>
    <w:p w:rsidR="00F05866" w:rsidRDefault="00040E02" w:rsidP="00040E02">
      <w:pPr>
        <w:tabs>
          <w:tab w:val="left" w:pos="1843"/>
        </w:tabs>
        <w:spacing w:line="360" w:lineRule="auto"/>
        <w:ind w:firstLine="2835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 </w:t>
      </w:r>
      <w:r w:rsidR="009F1E93" w:rsidRPr="009F1E93">
        <w:rPr>
          <w:rFonts w:ascii="Arial" w:hAnsi="Arial" w:cs="Arial"/>
          <w:b/>
          <w:sz w:val="24"/>
          <w:lang w:val="es-MX"/>
        </w:rPr>
        <w:t>3)</w:t>
      </w:r>
      <w:r w:rsidR="009F1E93">
        <w:rPr>
          <w:rFonts w:ascii="Arial" w:hAnsi="Arial" w:cs="Arial"/>
          <w:b/>
          <w:sz w:val="24"/>
          <w:lang w:val="es-MX"/>
        </w:rPr>
        <w:t xml:space="preserve"> </w:t>
      </w:r>
      <w:r w:rsidR="00EF3988" w:rsidRPr="00EF3988">
        <w:rPr>
          <w:rFonts w:ascii="Arial" w:hAnsi="Arial" w:cs="Arial"/>
          <w:sz w:val="24"/>
          <w:lang w:val="es-MX"/>
        </w:rPr>
        <w:t>q</w:t>
      </w:r>
      <w:r w:rsidR="00F05866">
        <w:rPr>
          <w:rFonts w:ascii="Arial" w:hAnsi="Arial" w:cs="Arial"/>
          <w:sz w:val="24"/>
          <w:lang w:val="es-MX"/>
        </w:rPr>
        <w:t xml:space="preserve">ue el </w:t>
      </w:r>
      <w:r>
        <w:rPr>
          <w:rFonts w:ascii="Arial" w:hAnsi="Arial" w:cs="Arial"/>
          <w:sz w:val="24"/>
          <w:lang w:val="es-MX"/>
        </w:rPr>
        <w:t>I</w:t>
      </w:r>
      <w:r w:rsidR="00F05866">
        <w:rPr>
          <w:rFonts w:ascii="Arial" w:hAnsi="Arial" w:cs="Arial"/>
          <w:sz w:val="24"/>
          <w:lang w:val="es-MX"/>
        </w:rPr>
        <w:t>nc</w:t>
      </w:r>
      <w:r>
        <w:rPr>
          <w:rFonts w:ascii="Arial" w:hAnsi="Arial" w:cs="Arial"/>
          <w:sz w:val="24"/>
          <w:lang w:val="es-MX"/>
        </w:rPr>
        <w:t>iso</w:t>
      </w:r>
      <w:r w:rsidR="00F05866">
        <w:rPr>
          <w:rFonts w:ascii="Arial" w:hAnsi="Arial" w:cs="Arial"/>
          <w:sz w:val="24"/>
          <w:lang w:val="es-MX"/>
        </w:rPr>
        <w:t xml:space="preserve"> 5</w:t>
      </w:r>
      <w:r>
        <w:rPr>
          <w:rFonts w:ascii="Arial" w:hAnsi="Arial" w:cs="Arial"/>
          <w:sz w:val="24"/>
          <w:lang w:val="es-MX"/>
        </w:rPr>
        <w:t>)</w:t>
      </w:r>
      <w:r w:rsidR="00F05866">
        <w:rPr>
          <w:rFonts w:ascii="Arial" w:hAnsi="Arial" w:cs="Arial"/>
          <w:sz w:val="24"/>
          <w:lang w:val="es-MX"/>
        </w:rPr>
        <w:t xml:space="preserve"> del </w:t>
      </w:r>
      <w:r>
        <w:rPr>
          <w:rFonts w:ascii="Arial" w:hAnsi="Arial" w:cs="Arial"/>
          <w:sz w:val="24"/>
          <w:lang w:val="es-MX"/>
        </w:rPr>
        <w:t>A</w:t>
      </w:r>
      <w:r w:rsidR="00F05866">
        <w:rPr>
          <w:rFonts w:ascii="Arial" w:hAnsi="Arial" w:cs="Arial"/>
          <w:sz w:val="24"/>
          <w:lang w:val="es-MX"/>
        </w:rPr>
        <w:t>rt</w:t>
      </w:r>
      <w:r>
        <w:rPr>
          <w:rFonts w:ascii="Arial" w:hAnsi="Arial" w:cs="Arial"/>
          <w:sz w:val="24"/>
          <w:lang w:val="es-MX"/>
        </w:rPr>
        <w:t>ículo</w:t>
      </w:r>
      <w:r w:rsidR="00F05866">
        <w:rPr>
          <w:rFonts w:ascii="Arial" w:hAnsi="Arial" w:cs="Arial"/>
          <w:sz w:val="24"/>
          <w:lang w:val="es-MX"/>
        </w:rPr>
        <w:t xml:space="preserve"> 262 de la Constitución de la República faculta a los Gobiernos Departamentales a acordar entre sí y con el Poder Ejecutivo, así como con los Entes Autónomos y los Servicios Descentralizados la organización y la prestación de servicios y actividades propias o comunes;</w:t>
      </w:r>
    </w:p>
    <w:p w:rsidR="00F05866" w:rsidRDefault="00F05866" w:rsidP="00040E02">
      <w:pPr>
        <w:pStyle w:val="Textoindependiente"/>
        <w:ind w:firstLine="708"/>
      </w:pPr>
      <w:r>
        <w:rPr>
          <w:b/>
        </w:rPr>
        <w:t>ATENTO</w:t>
      </w:r>
      <w:r w:rsidR="000A2E83">
        <w:t xml:space="preserve"> a lo expresado;</w:t>
      </w:r>
    </w:p>
    <w:p w:rsidR="00F05866" w:rsidRPr="00040E02" w:rsidRDefault="00F05866">
      <w:pPr>
        <w:spacing w:line="360" w:lineRule="auto"/>
        <w:jc w:val="center"/>
        <w:rPr>
          <w:rFonts w:ascii="Arial" w:hAnsi="Arial" w:cs="Arial"/>
          <w:b/>
          <w:sz w:val="24"/>
          <w:lang w:val="es-MX"/>
        </w:rPr>
      </w:pPr>
      <w:r w:rsidRPr="00040E02">
        <w:rPr>
          <w:rFonts w:ascii="Arial" w:hAnsi="Arial" w:cs="Arial"/>
          <w:b/>
          <w:sz w:val="24"/>
          <w:lang w:val="es-MX"/>
        </w:rPr>
        <w:t>EL TRIBUNAL ACUERDA</w:t>
      </w:r>
    </w:p>
    <w:p w:rsidR="00F05866" w:rsidRDefault="00B55BCF" w:rsidP="00B55BCF">
      <w:pPr>
        <w:spacing w:line="360" w:lineRule="auto"/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1) </w:t>
      </w:r>
      <w:r w:rsidR="00554AF6">
        <w:rPr>
          <w:rFonts w:ascii="Arial" w:hAnsi="Arial" w:cs="Arial"/>
          <w:sz w:val="24"/>
          <w:lang w:val="es-MX"/>
        </w:rPr>
        <w:t xml:space="preserve">No formular observaciones al </w:t>
      </w:r>
      <w:r w:rsidR="009177C0">
        <w:rPr>
          <w:rFonts w:ascii="Arial" w:hAnsi="Arial" w:cs="Arial"/>
          <w:sz w:val="24"/>
          <w:lang w:val="es-MX"/>
        </w:rPr>
        <w:t>C</w:t>
      </w:r>
      <w:bookmarkStart w:id="0" w:name="_GoBack"/>
      <w:bookmarkEnd w:id="0"/>
      <w:r w:rsidR="00554AF6">
        <w:rPr>
          <w:rFonts w:ascii="Arial" w:hAnsi="Arial" w:cs="Arial"/>
          <w:sz w:val="24"/>
          <w:lang w:val="es-MX"/>
        </w:rPr>
        <w:t>onvenio</w:t>
      </w:r>
      <w:r w:rsidR="00040E02">
        <w:rPr>
          <w:rFonts w:ascii="Arial" w:hAnsi="Arial" w:cs="Arial"/>
          <w:sz w:val="24"/>
          <w:lang w:val="es-MX"/>
        </w:rPr>
        <w:t xml:space="preserve"> remitido</w:t>
      </w:r>
      <w:r w:rsidR="00F05866">
        <w:rPr>
          <w:rFonts w:ascii="Arial" w:hAnsi="Arial" w:cs="Arial"/>
          <w:sz w:val="24"/>
          <w:lang w:val="es-MX"/>
        </w:rPr>
        <w:t>;</w:t>
      </w:r>
      <w:r w:rsidR="00040E02">
        <w:rPr>
          <w:rFonts w:ascii="Arial" w:hAnsi="Arial" w:cs="Arial"/>
          <w:sz w:val="24"/>
          <w:lang w:val="es-MX"/>
        </w:rPr>
        <w:t xml:space="preserve"> y</w:t>
      </w:r>
    </w:p>
    <w:p w:rsidR="00F05866" w:rsidRDefault="00B55BCF" w:rsidP="00B55BCF">
      <w:pPr>
        <w:spacing w:line="360" w:lineRule="auto"/>
        <w:jc w:val="both"/>
        <w:rPr>
          <w:rFonts w:ascii="Arial" w:hAnsi="Arial" w:cs="Arial"/>
          <w:sz w:val="24"/>
          <w:lang w:val="es-MX"/>
        </w:rPr>
      </w:pPr>
      <w:r w:rsidRPr="00B55BCF">
        <w:rPr>
          <w:rFonts w:ascii="Arial" w:hAnsi="Arial" w:cs="Arial"/>
          <w:b/>
          <w:sz w:val="24"/>
          <w:lang w:val="es-MX"/>
        </w:rPr>
        <w:t>2)</w:t>
      </w:r>
      <w:r>
        <w:rPr>
          <w:rFonts w:ascii="Arial" w:hAnsi="Arial" w:cs="Arial"/>
          <w:sz w:val="24"/>
          <w:lang w:val="es-MX"/>
        </w:rPr>
        <w:t xml:space="preserve"> </w:t>
      </w:r>
      <w:r w:rsidR="000C6CE6">
        <w:rPr>
          <w:rFonts w:ascii="Arial" w:hAnsi="Arial" w:cs="Arial"/>
          <w:sz w:val="24"/>
          <w:lang w:val="es-MX"/>
        </w:rPr>
        <w:t>Devolver las actuaciones</w:t>
      </w:r>
      <w:r w:rsidR="00F05866">
        <w:rPr>
          <w:rFonts w:ascii="Arial" w:hAnsi="Arial" w:cs="Arial"/>
          <w:sz w:val="24"/>
          <w:lang w:val="es-MX"/>
        </w:rPr>
        <w:t>.</w:t>
      </w:r>
    </w:p>
    <w:p w:rsidR="00F05866" w:rsidRDefault="00F05866">
      <w:pPr>
        <w:spacing w:line="360" w:lineRule="auto"/>
        <w:rPr>
          <w:rFonts w:ascii="Arial" w:hAnsi="Arial" w:cs="Arial"/>
          <w:b/>
          <w:bCs/>
          <w:sz w:val="16"/>
          <w:lang w:val="es-MX"/>
        </w:rPr>
      </w:pPr>
    </w:p>
    <w:p w:rsidR="00554AF6" w:rsidRDefault="00554AF6">
      <w:pPr>
        <w:spacing w:line="360" w:lineRule="auto"/>
        <w:rPr>
          <w:rFonts w:ascii="Arial" w:hAnsi="Arial" w:cs="Arial"/>
          <w:b/>
          <w:bCs/>
          <w:sz w:val="16"/>
          <w:lang w:val="es-MX"/>
        </w:rPr>
      </w:pPr>
    </w:p>
    <w:p w:rsidR="00040E02" w:rsidRDefault="00040E02">
      <w:pPr>
        <w:spacing w:line="360" w:lineRule="auto"/>
        <w:rPr>
          <w:rFonts w:ascii="Arial" w:hAnsi="Arial" w:cs="Arial"/>
          <w:b/>
          <w:bCs/>
          <w:sz w:val="16"/>
          <w:lang w:val="es-MX"/>
        </w:rPr>
      </w:pPr>
    </w:p>
    <w:p w:rsidR="00040E02" w:rsidRDefault="00040E02">
      <w:pPr>
        <w:spacing w:line="360" w:lineRule="auto"/>
        <w:rPr>
          <w:rFonts w:ascii="Arial" w:hAnsi="Arial" w:cs="Arial"/>
          <w:b/>
          <w:bCs/>
          <w:sz w:val="16"/>
          <w:lang w:val="es-MX"/>
        </w:rPr>
      </w:pPr>
    </w:p>
    <w:p w:rsidR="00040E02" w:rsidRDefault="00040E02">
      <w:pPr>
        <w:spacing w:line="360" w:lineRule="auto"/>
        <w:rPr>
          <w:rFonts w:ascii="Arial" w:hAnsi="Arial" w:cs="Arial"/>
          <w:b/>
          <w:bCs/>
          <w:sz w:val="16"/>
          <w:lang w:val="es-MX"/>
        </w:rPr>
      </w:pPr>
    </w:p>
    <w:p w:rsidR="00040E02" w:rsidRDefault="00040E02">
      <w:pPr>
        <w:spacing w:line="360" w:lineRule="auto"/>
        <w:rPr>
          <w:rFonts w:ascii="Arial" w:hAnsi="Arial" w:cs="Arial"/>
          <w:b/>
          <w:bCs/>
          <w:sz w:val="16"/>
          <w:lang w:val="es-MX"/>
        </w:rPr>
      </w:pPr>
    </w:p>
    <w:p w:rsidR="00040E02" w:rsidRPr="00040E02" w:rsidRDefault="00040E02">
      <w:pPr>
        <w:spacing w:line="360" w:lineRule="auto"/>
        <w:rPr>
          <w:rFonts w:ascii="Arial" w:hAnsi="Arial" w:cs="Arial"/>
          <w:bCs/>
          <w:sz w:val="24"/>
          <w:szCs w:val="24"/>
          <w:lang w:val="es-MX"/>
        </w:rPr>
      </w:pPr>
      <w:proofErr w:type="spellStart"/>
      <w:proofErr w:type="gramStart"/>
      <w:r w:rsidRPr="00040E02">
        <w:rPr>
          <w:rFonts w:ascii="Arial" w:hAnsi="Arial" w:cs="Arial"/>
          <w:bCs/>
          <w:sz w:val="24"/>
          <w:szCs w:val="24"/>
          <w:lang w:val="es-MX"/>
        </w:rPr>
        <w:t>cr</w:t>
      </w:r>
      <w:proofErr w:type="spellEnd"/>
      <w:proofErr w:type="gramEnd"/>
    </w:p>
    <w:sectPr w:rsidR="00040E02" w:rsidRPr="00040E02" w:rsidSect="00040E02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32" w:rsidRDefault="00137332">
      <w:r>
        <w:separator/>
      </w:r>
    </w:p>
  </w:endnote>
  <w:endnote w:type="continuationSeparator" w:id="0">
    <w:p w:rsidR="00137332" w:rsidRDefault="0013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33" w:rsidRDefault="00F118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1833" w:rsidRDefault="00F118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33" w:rsidRDefault="00F118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77C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11833" w:rsidRDefault="00F118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32" w:rsidRDefault="00137332">
      <w:r>
        <w:separator/>
      </w:r>
    </w:p>
  </w:footnote>
  <w:footnote w:type="continuationSeparator" w:id="0">
    <w:p w:rsidR="00137332" w:rsidRDefault="0013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22C5"/>
    <w:multiLevelType w:val="singleLevel"/>
    <w:tmpl w:val="6FFA4980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</w:lvl>
  </w:abstractNum>
  <w:abstractNum w:abstractNumId="1">
    <w:nsid w:val="18B03BFE"/>
    <w:multiLevelType w:val="singleLevel"/>
    <w:tmpl w:val="7772E1E0"/>
    <w:lvl w:ilvl="0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>
    <w:nsid w:val="1B083405"/>
    <w:multiLevelType w:val="hybridMultilevel"/>
    <w:tmpl w:val="38FC89E6"/>
    <w:lvl w:ilvl="0" w:tplc="6C42B4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554EB4"/>
    <w:multiLevelType w:val="multilevel"/>
    <w:tmpl w:val="D93686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5CF621D6"/>
    <w:multiLevelType w:val="multilevel"/>
    <w:tmpl w:val="ACC69BB6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4B6658C"/>
    <w:multiLevelType w:val="multilevel"/>
    <w:tmpl w:val="398896EE"/>
    <w:lvl w:ilvl="0">
      <w:start w:val="8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">
    <w:nsid w:val="78035E7C"/>
    <w:multiLevelType w:val="hybridMultilevel"/>
    <w:tmpl w:val="1D58213C"/>
    <w:lvl w:ilvl="0" w:tplc="9A427648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66"/>
    <w:rsid w:val="00031E8F"/>
    <w:rsid w:val="000374D2"/>
    <w:rsid w:val="00040E02"/>
    <w:rsid w:val="00087C71"/>
    <w:rsid w:val="000A2E83"/>
    <w:rsid w:val="000A601A"/>
    <w:rsid w:val="000C6CE6"/>
    <w:rsid w:val="000C7AD7"/>
    <w:rsid w:val="00101D80"/>
    <w:rsid w:val="00137332"/>
    <w:rsid w:val="00143FD7"/>
    <w:rsid w:val="00174272"/>
    <w:rsid w:val="001F68CF"/>
    <w:rsid w:val="0035232D"/>
    <w:rsid w:val="0039784A"/>
    <w:rsid w:val="00420DBD"/>
    <w:rsid w:val="00441180"/>
    <w:rsid w:val="00445479"/>
    <w:rsid w:val="004B5A92"/>
    <w:rsid w:val="005006B1"/>
    <w:rsid w:val="005133D6"/>
    <w:rsid w:val="00554AF6"/>
    <w:rsid w:val="005730C4"/>
    <w:rsid w:val="00573D6D"/>
    <w:rsid w:val="005B0EF6"/>
    <w:rsid w:val="005D1850"/>
    <w:rsid w:val="005D6D15"/>
    <w:rsid w:val="0062272D"/>
    <w:rsid w:val="0062441C"/>
    <w:rsid w:val="00636984"/>
    <w:rsid w:val="0064712C"/>
    <w:rsid w:val="006D34A8"/>
    <w:rsid w:val="007258DC"/>
    <w:rsid w:val="0073288D"/>
    <w:rsid w:val="00750213"/>
    <w:rsid w:val="00757885"/>
    <w:rsid w:val="007F41D5"/>
    <w:rsid w:val="0081733B"/>
    <w:rsid w:val="008207E7"/>
    <w:rsid w:val="008C51AD"/>
    <w:rsid w:val="008D08CC"/>
    <w:rsid w:val="009177C0"/>
    <w:rsid w:val="00942C5E"/>
    <w:rsid w:val="00971F50"/>
    <w:rsid w:val="009936A3"/>
    <w:rsid w:val="00995106"/>
    <w:rsid w:val="009979E9"/>
    <w:rsid w:val="009C5BD5"/>
    <w:rsid w:val="009F1E93"/>
    <w:rsid w:val="00A40C11"/>
    <w:rsid w:val="00A5755A"/>
    <w:rsid w:val="00B55BCF"/>
    <w:rsid w:val="00B660D9"/>
    <w:rsid w:val="00B75047"/>
    <w:rsid w:val="00BB30CC"/>
    <w:rsid w:val="00D656B3"/>
    <w:rsid w:val="00DB7305"/>
    <w:rsid w:val="00DE7935"/>
    <w:rsid w:val="00E23B45"/>
    <w:rsid w:val="00E26003"/>
    <w:rsid w:val="00E84EC0"/>
    <w:rsid w:val="00E876A3"/>
    <w:rsid w:val="00EA649B"/>
    <w:rsid w:val="00EB0995"/>
    <w:rsid w:val="00ED1A59"/>
    <w:rsid w:val="00EF3988"/>
    <w:rsid w:val="00F05866"/>
    <w:rsid w:val="00F11833"/>
    <w:rsid w:val="00F4104D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134"/>
      <w:jc w:val="both"/>
    </w:pPr>
    <w:rPr>
      <w:rFonts w:ascii="Bookman Old Style" w:hAnsi="Bookman Old Style"/>
      <w:sz w:val="24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sz w:val="24"/>
      <w:lang w:val="es-MX"/>
    </w:rPr>
  </w:style>
  <w:style w:type="character" w:styleId="Hipervnculo">
    <w:name w:val="Hyperlink"/>
    <w:uiPriority w:val="99"/>
    <w:unhideWhenUsed/>
    <w:rsid w:val="00B55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134"/>
      <w:jc w:val="both"/>
    </w:pPr>
    <w:rPr>
      <w:rFonts w:ascii="Bookman Old Style" w:hAnsi="Bookman Old Style"/>
      <w:sz w:val="24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sz w:val="24"/>
      <w:lang w:val="es-MX"/>
    </w:rPr>
  </w:style>
  <w:style w:type="character" w:styleId="Hipervnculo">
    <w:name w:val="Hyperlink"/>
    <w:uiPriority w:val="99"/>
    <w:unhideWhenUsed/>
    <w:rsid w:val="00B5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967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191</vt:lpstr>
    </vt:vector>
  </TitlesOfParts>
  <Company>TRIBUNAL DE CUENTAS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191</dc:title>
  <dc:subject/>
  <dc:creator>TRIBUNAL DE CUENTAS</dc:creator>
  <cp:keywords/>
  <cp:lastModifiedBy>tribunal1</cp:lastModifiedBy>
  <cp:revision>8</cp:revision>
  <cp:lastPrinted>2014-02-06T13:06:00Z</cp:lastPrinted>
  <dcterms:created xsi:type="dcterms:W3CDTF">2014-02-06T13:07:00Z</dcterms:created>
  <dcterms:modified xsi:type="dcterms:W3CDTF">2014-02-06T15:03:00Z</dcterms:modified>
</cp:coreProperties>
</file>