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05" w:rsidRPr="00A97F6A" w:rsidRDefault="00204505" w:rsidP="002045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97F6A">
        <w:rPr>
          <w:rFonts w:ascii="Arial" w:hAnsi="Arial" w:cs="Arial"/>
          <w:b/>
          <w:sz w:val="24"/>
          <w:szCs w:val="24"/>
          <w:lang w:val="es-ES_tradnl"/>
        </w:rPr>
        <w:t>RESOLUCION ADOP</w:t>
      </w:r>
      <w:bookmarkStart w:id="0" w:name="_GoBack"/>
      <w:bookmarkEnd w:id="0"/>
      <w:r w:rsidRPr="00A97F6A">
        <w:rPr>
          <w:rFonts w:ascii="Arial" w:hAnsi="Arial" w:cs="Arial"/>
          <w:b/>
          <w:sz w:val="24"/>
          <w:szCs w:val="24"/>
          <w:lang w:val="es-ES_tradnl"/>
        </w:rPr>
        <w:t>TADA POR EL</w:t>
      </w:r>
    </w:p>
    <w:p w:rsidR="00204505" w:rsidRPr="00A97F6A" w:rsidRDefault="00204505" w:rsidP="002045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04505" w:rsidRPr="00A97F6A" w:rsidRDefault="00204505" w:rsidP="002045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97F6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04505" w:rsidRPr="00A97F6A" w:rsidRDefault="00204505" w:rsidP="002045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04505" w:rsidRPr="00A97F6A" w:rsidRDefault="00204505" w:rsidP="002045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97F6A">
        <w:rPr>
          <w:rFonts w:ascii="Arial" w:hAnsi="Arial" w:cs="Arial"/>
          <w:b/>
          <w:sz w:val="24"/>
          <w:szCs w:val="24"/>
          <w:lang w:val="es-ES_tradnl"/>
        </w:rPr>
        <w:t>EN SESION DE FECHA  DE 5 DE FEBRERO DE 2014</w:t>
      </w:r>
    </w:p>
    <w:p w:rsidR="00204505" w:rsidRPr="00A97F6A" w:rsidRDefault="00204505" w:rsidP="002045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04505" w:rsidRPr="00204505" w:rsidRDefault="00204505" w:rsidP="0020450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 w:rsidRPr="00A97F6A">
        <w:rPr>
          <w:rFonts w:ascii="Arial" w:hAnsi="Arial" w:cs="Arial"/>
          <w:b/>
          <w:sz w:val="24"/>
          <w:szCs w:val="24"/>
          <w:lang w:val="es-ES_tradnl"/>
        </w:rPr>
        <w:t xml:space="preserve">(E. E. Nº 2014-17-1-0000055, </w:t>
      </w:r>
      <w:proofErr w:type="spellStart"/>
      <w:r w:rsidRPr="00A97F6A">
        <w:rPr>
          <w:rFonts w:ascii="Arial" w:hAnsi="Arial" w:cs="Arial"/>
          <w:b/>
          <w:sz w:val="24"/>
          <w:szCs w:val="24"/>
          <w:lang w:val="es-ES_tradnl"/>
        </w:rPr>
        <w:t>Ent</w:t>
      </w:r>
      <w:proofErr w:type="spellEnd"/>
      <w:r w:rsidRPr="00A97F6A">
        <w:rPr>
          <w:rFonts w:ascii="Arial" w:hAnsi="Arial" w:cs="Arial"/>
          <w:b/>
          <w:sz w:val="24"/>
          <w:szCs w:val="24"/>
          <w:lang w:val="es-ES_tradnl"/>
        </w:rPr>
        <w:t>. N° 0043/14)</w:t>
      </w:r>
    </w:p>
    <w:p w:rsidR="00204505" w:rsidRPr="00204505" w:rsidRDefault="0020450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5D173C" w:rsidRDefault="005D173C" w:rsidP="0020450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VISTO: </w:t>
      </w:r>
      <w:r>
        <w:rPr>
          <w:rFonts w:ascii="LiberationSans-Regular" w:hAnsi="LiberationSans-Regular" w:cs="LiberationSans-Regular"/>
          <w:sz w:val="24"/>
          <w:szCs w:val="24"/>
        </w:rPr>
        <w:t>las actuaciones remitidas por la Intendencia de Montevideo, relacionadas con la adquisición de predios y/o edificaciones aptos para la construcción de vivienda con destino a la cartera de tierras para vivienda;</w:t>
      </w:r>
    </w:p>
    <w:p w:rsidR="005D173C" w:rsidRDefault="005D173C" w:rsidP="0020450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5D173C">
        <w:rPr>
          <w:rFonts w:ascii="LiberationSans-Regular" w:hAnsi="LiberationSans-Regular" w:cs="LiberationSans-Regular"/>
          <w:b/>
          <w:sz w:val="24"/>
          <w:szCs w:val="24"/>
        </w:rPr>
        <w:t>RESULTANDO: 1)</w:t>
      </w:r>
      <w:r>
        <w:rPr>
          <w:rFonts w:ascii="LiberationSans-Regular" w:hAnsi="LiberationSans-Regular" w:cs="LiberationSans-Regular"/>
          <w:sz w:val="24"/>
          <w:szCs w:val="24"/>
        </w:rPr>
        <w:t xml:space="preserve"> que por Resolución Nº 018 de fecha 21/01/2013 del Gerente de Compras, se dispuso autorizar el llamado y aprobar el pliego particular de condiciones;</w:t>
      </w:r>
    </w:p>
    <w:p w:rsidR="005D173C" w:rsidRDefault="005D173C" w:rsidP="00204505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5D173C">
        <w:rPr>
          <w:rFonts w:ascii="LiberationSans-Regular" w:hAnsi="LiberationSans-Regular" w:cs="LiberationSans-Regular"/>
          <w:b/>
          <w:sz w:val="24"/>
          <w:szCs w:val="24"/>
        </w:rPr>
        <w:t>2)</w:t>
      </w:r>
      <w:r>
        <w:rPr>
          <w:rFonts w:ascii="LiberationSans-Regular" w:hAnsi="LiberationSans-Regular" w:cs="LiberationSans-Regular"/>
          <w:sz w:val="24"/>
          <w:szCs w:val="24"/>
        </w:rPr>
        <w:t xml:space="preserve"> que se realizaron publicaciones en el Sitio Web de Compras y Contrataciones estatales en fecha 21/01/2013 y en el Diario Oficial con fecha 29/01/2013, </w:t>
      </w:r>
    </w:p>
    <w:p w:rsidR="008B3931" w:rsidRDefault="005D173C" w:rsidP="00204505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5D173C">
        <w:rPr>
          <w:rFonts w:ascii="LiberationSans-Regular" w:hAnsi="LiberationSans-Regular" w:cs="LiberationSans-Regular"/>
          <w:b/>
          <w:sz w:val="24"/>
          <w:szCs w:val="24"/>
        </w:rPr>
        <w:t>3)</w:t>
      </w:r>
      <w:r>
        <w:rPr>
          <w:rFonts w:ascii="LiberationSans-Regular" w:hAnsi="LiberationSans-Regular" w:cs="LiberationSans-Regular"/>
          <w:sz w:val="24"/>
          <w:szCs w:val="24"/>
        </w:rPr>
        <w:t xml:space="preserve"> que se recibieron ofertas de: Carlos Gutiérrez Romay,</w:t>
      </w:r>
      <w:r w:rsidR="00956A8E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 xml:space="preserve">Raquel Graciela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Carzolio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Díaz,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Cayma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S.A.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Dasal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Trading, María Verónica Pereira, Walter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Pardias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Capelan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,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Dileta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S.A., Fernando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Amorín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Grande, Nelson Pablo Márquez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Rabellino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, Jacinta Susana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Villalba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González, Mauricio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Salustio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, Salomón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Sapiro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Libschtz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y Federico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Magnone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Praderio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>;</w:t>
      </w:r>
    </w:p>
    <w:p w:rsidR="005D173C" w:rsidRDefault="005D173C" w:rsidP="00204505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5D173C">
        <w:rPr>
          <w:rFonts w:ascii="LiberationSans-Regular" w:hAnsi="LiberationSans-Regular" w:cs="LiberationSans-Regular"/>
          <w:b/>
          <w:sz w:val="24"/>
          <w:szCs w:val="24"/>
        </w:rPr>
        <w:t>4)</w:t>
      </w:r>
      <w:r>
        <w:rPr>
          <w:rFonts w:ascii="LiberationSans-Regular" w:hAnsi="LiberationSans-Regular" w:cs="LiberationSans-Regular"/>
          <w:sz w:val="24"/>
          <w:szCs w:val="24"/>
        </w:rPr>
        <w:t xml:space="preserve"> que la Comisión Asesora, elabora su informe con fecha 14/06/2013, proponiendo convocar a mejora de ofertas a las firmas: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 xml:space="preserve">Carlos Gutiérrez Romay,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Cayma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S.A.,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Dasal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Trading,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Dileta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S.A.</w:t>
      </w:r>
      <w:r w:rsidR="004D4F4C">
        <w:rPr>
          <w:rFonts w:ascii="LiberationSans-Regular" w:hAnsi="LiberationSans-Regular" w:cs="LiberationSans-Regular"/>
          <w:sz w:val="24"/>
          <w:szCs w:val="24"/>
        </w:rPr>
        <w:t>,</w:t>
      </w:r>
      <w:r>
        <w:rPr>
          <w:rFonts w:ascii="LiberationSans-Regular" w:hAnsi="LiberationSans-Regular" w:cs="LiberationSans-Regular"/>
          <w:sz w:val="24"/>
          <w:szCs w:val="24"/>
        </w:rPr>
        <w:t xml:space="preserve"> Nelson Pablo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Marquez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Rabellino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, Salomón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Sapiro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Libschtz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>, la que se dispuso por Resolución de 8 de agosto de 2013 y se labró acta con fecha 30 de agosto de 2013;</w:t>
      </w:r>
    </w:p>
    <w:p w:rsidR="005D173C" w:rsidRDefault="005D173C" w:rsidP="00204505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5) </w:t>
      </w:r>
      <w:r>
        <w:rPr>
          <w:rFonts w:ascii="LiberationSans-Regular" w:hAnsi="LiberationSans-Regular" w:cs="LiberationSans-Regular"/>
          <w:sz w:val="24"/>
          <w:szCs w:val="24"/>
        </w:rPr>
        <w:t>que por nuevo informe, la Comisión Asesora aconseja adjudicar, por un monto total de $</w:t>
      </w:r>
      <w:r w:rsidR="00956A8E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72.748.200, a las siguientes firmas: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Carlos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Gutierrez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Romay, por $ 22.974.800.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Raquel Graciela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Carzolio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Díaz, por $ 2.000.000.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Cayma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S.A., por $ 2.958.500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Dasal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Trading, por $ 9.495.000.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Walter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Pardias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Capelan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>, por $ 2.363.000.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Dileta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S.A, por $ 25.000.000.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Nelson Pablo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Marquez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Rabellino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>, por $ 1.235.000.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Salomón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Sapiro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Libschtz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>, por $ 2.421.900.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Federico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Magnone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Pradeiro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>, por $ 1.100.000.</w:t>
      </w:r>
    </w:p>
    <w:p w:rsidR="005D173C" w:rsidRDefault="005D173C" w:rsidP="00085441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6) </w:t>
      </w:r>
      <w:r>
        <w:rPr>
          <w:rFonts w:ascii="LiberationSans-Regular" w:hAnsi="LiberationSans-Regular" w:cs="LiberationSans-Regular"/>
          <w:sz w:val="24"/>
          <w:szCs w:val="24"/>
        </w:rPr>
        <w:t xml:space="preserve">que puesta de manifiesto las actuaciones la firma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Dasal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Trading S.A. manifiesta que al adquirirse un solo terreno de los ofertados no procede el descuento del 10%, ascendiendo al total la oferta de </w:t>
      </w:r>
      <w:r w:rsidR="00222074">
        <w:rPr>
          <w:rFonts w:ascii="LiberationSans-Regular" w:hAnsi="LiberationSans-Regular" w:cs="LiberationSans-Regular"/>
          <w:sz w:val="24"/>
          <w:szCs w:val="24"/>
        </w:rPr>
        <w:t xml:space="preserve">                 </w:t>
      </w:r>
      <w:r>
        <w:rPr>
          <w:rFonts w:ascii="LiberationSans-Regular" w:hAnsi="LiberationSans-Regular" w:cs="LiberationSans-Regular"/>
          <w:sz w:val="24"/>
          <w:szCs w:val="24"/>
        </w:rPr>
        <w:t>$U 10.550.000;</w:t>
      </w:r>
    </w:p>
    <w:p w:rsidR="005D173C" w:rsidRDefault="005D173C" w:rsidP="00085441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5D173C">
        <w:rPr>
          <w:rFonts w:ascii="LiberationSans-Regular" w:hAnsi="LiberationSans-Regular" w:cs="LiberationSans-Regular"/>
          <w:b/>
          <w:sz w:val="24"/>
          <w:szCs w:val="24"/>
        </w:rPr>
        <w:t>7</w:t>
      </w:r>
      <w:r w:rsidRPr="005D173C">
        <w:rPr>
          <w:rFonts w:ascii="LiberationSans-Bold" w:hAnsi="LiberationSans-Bold" w:cs="LiberationSans-Bold"/>
          <w:b/>
          <w:bCs/>
          <w:sz w:val="24"/>
          <w:szCs w:val="24"/>
        </w:rPr>
        <w:t>)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 xml:space="preserve">que con fecha 28/11/2013, la Comisión Supervisora de Contrataciones aconseja aceptar la propuesta de la Comisión Asesora efectuando la corrección en la oferta de la firma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Dasa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Trading S.A.;</w:t>
      </w:r>
    </w:p>
    <w:p w:rsidR="005D173C" w:rsidRDefault="005D173C" w:rsidP="00085441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5D173C">
        <w:rPr>
          <w:rFonts w:ascii="LiberationSans-Regular" w:hAnsi="LiberationSans-Regular" w:cs="LiberationSans-Regular"/>
          <w:b/>
          <w:sz w:val="24"/>
          <w:szCs w:val="24"/>
        </w:rPr>
        <w:t>8</w:t>
      </w:r>
      <w:r w:rsidRPr="005D173C">
        <w:rPr>
          <w:rFonts w:ascii="LiberationSans-Bold" w:hAnsi="LiberationSans-Bold" w:cs="LiberationSans-Bold"/>
          <w:b/>
          <w:bCs/>
          <w:sz w:val="24"/>
          <w:szCs w:val="24"/>
        </w:rPr>
        <w:t>)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que por Resolución de la Intenden</w:t>
      </w:r>
      <w:r w:rsidR="00222074">
        <w:rPr>
          <w:rFonts w:ascii="LiberationSans-Regular" w:hAnsi="LiberationSans-Regular" w:cs="LiberationSans-Regular"/>
          <w:sz w:val="24"/>
          <w:szCs w:val="24"/>
        </w:rPr>
        <w:t>cia</w:t>
      </w:r>
      <w:r>
        <w:rPr>
          <w:rFonts w:ascii="LiberationSans-Regular" w:hAnsi="LiberationSans-Regular" w:cs="LiberationSans-Regular"/>
          <w:sz w:val="24"/>
          <w:szCs w:val="24"/>
        </w:rPr>
        <w:t xml:space="preserve"> Nº 5909/13 de fecha 23.12.13, se dispuso adjudicar a las empresas: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Carlos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Gutierrez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Romay, por $ 22.974.800.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Raquel Graciela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Carzolio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Díaz, por $ 2.000.000.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Cayma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S.A., por $ 2.958.500</w:t>
      </w:r>
    </w:p>
    <w:p w:rsidR="005D173C" w:rsidRDefault="005D173C" w:rsidP="00222074">
      <w:pPr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Dasal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Trading, por $ 910.550.000.</w:t>
      </w:r>
    </w:p>
    <w:p w:rsidR="005D173C" w:rsidRDefault="005D173C" w:rsidP="00222074">
      <w:pPr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Walter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Pardias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Capelan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>, por $ 2.363.000.</w:t>
      </w:r>
    </w:p>
    <w:p w:rsidR="005D173C" w:rsidRDefault="005D173C" w:rsidP="00222074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Dileta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S.A, por $ 25.000.000.</w:t>
      </w:r>
    </w:p>
    <w:p w:rsidR="005D173C" w:rsidRDefault="005D173C" w:rsidP="00222074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Nelson Pablo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Marquez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Rabellino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>, por $ 1.235.000.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Salomón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Sapiro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Libschtz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>, por $ 2.421.900.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LiberationSans-Regular" w:hAnsi="LiberationSans-Regular" w:cs="LiberationSans-Regular"/>
          <w:sz w:val="24"/>
          <w:szCs w:val="24"/>
        </w:rPr>
        <w:t xml:space="preserve">Federico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Magnone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Pradeiro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>, por $ 1.100.000.</w:t>
      </w:r>
    </w:p>
    <w:p w:rsidR="005D173C" w:rsidRDefault="005D173C" w:rsidP="00FC7F81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9) </w:t>
      </w:r>
      <w:r>
        <w:rPr>
          <w:rFonts w:ascii="LiberationSans-Regular" w:hAnsi="LiberationSans-Regular" w:cs="LiberationSans-Regular"/>
          <w:sz w:val="24"/>
          <w:szCs w:val="24"/>
        </w:rPr>
        <w:t>que consta informe contable de fecha 30/12/13 con imputación del gasto, al rubro con disponibilidad suficiente;</w:t>
      </w:r>
    </w:p>
    <w:p w:rsidR="005D173C" w:rsidRDefault="005D173C" w:rsidP="00FC7F8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CONSIDERANDO: </w:t>
      </w:r>
      <w:r w:rsidRPr="00FC7F81">
        <w:rPr>
          <w:rFonts w:ascii="LiberationSans-Regular" w:hAnsi="LiberationSans-Regular" w:cs="LiberationSans-Regular"/>
          <w:b/>
          <w:sz w:val="24"/>
          <w:szCs w:val="24"/>
        </w:rPr>
        <w:t>1)</w:t>
      </w:r>
      <w:r>
        <w:rPr>
          <w:rFonts w:ascii="LiberationSans-Regular" w:hAnsi="LiberationSans-Regular" w:cs="LiberationSans-Regular"/>
          <w:sz w:val="24"/>
          <w:szCs w:val="24"/>
        </w:rPr>
        <w:t xml:space="preserve"> que el </w:t>
      </w:r>
      <w:r w:rsidR="00FC7F81">
        <w:rPr>
          <w:rFonts w:ascii="LiberationSans-Regular" w:hAnsi="LiberationSans-Regular" w:cs="LiberationSans-Regular"/>
          <w:sz w:val="24"/>
          <w:szCs w:val="24"/>
        </w:rPr>
        <w:t>A</w:t>
      </w:r>
      <w:r>
        <w:rPr>
          <w:rFonts w:ascii="LiberationSans-Regular" w:hAnsi="LiberationSans-Regular" w:cs="LiberationSans-Regular"/>
          <w:sz w:val="24"/>
          <w:szCs w:val="24"/>
        </w:rPr>
        <w:t xml:space="preserve">rtículo 67 de la Ley de Ordenamiento Territorial, establece que los Gobiernos Departamentales podrán crear carteras de tierras para fines de ordenamiento territorial en el marco de sus </w:t>
      </w:r>
      <w:r>
        <w:rPr>
          <w:rFonts w:ascii="LiberationSans-Regular" w:hAnsi="LiberationSans-Regular" w:cs="LiberationSans-Regular"/>
          <w:sz w:val="24"/>
          <w:szCs w:val="24"/>
        </w:rPr>
        <w:lastRenderedPageBreak/>
        <w:t xml:space="preserve">instrumentos, reglamentando su destino y utilización en el marco de sus respectivas competencias. Esto implica una ampliación de las competencias de los Gobiernos Departamentales dada por el </w:t>
      </w:r>
      <w:r w:rsidR="008B3931">
        <w:rPr>
          <w:rFonts w:ascii="LiberationSans-Regular" w:hAnsi="LiberationSans-Regular" w:cs="LiberationSans-Regular"/>
          <w:sz w:val="24"/>
          <w:szCs w:val="24"/>
        </w:rPr>
        <w:t>A</w:t>
      </w:r>
      <w:r>
        <w:rPr>
          <w:rFonts w:ascii="LiberationSans-Regular" w:hAnsi="LiberationSans-Regular" w:cs="LiberationSans-Regular"/>
          <w:sz w:val="24"/>
          <w:szCs w:val="24"/>
        </w:rPr>
        <w:t xml:space="preserve">rtículo 36 </w:t>
      </w:r>
      <w:r w:rsidR="008B3931">
        <w:rPr>
          <w:rFonts w:ascii="LiberationSans-Regular" w:hAnsi="LiberationSans-Regular" w:cs="LiberationSans-Regular"/>
          <w:sz w:val="24"/>
          <w:szCs w:val="24"/>
        </w:rPr>
        <w:t>N</w:t>
      </w:r>
      <w:r>
        <w:rPr>
          <w:rFonts w:ascii="LiberationSans-Regular" w:hAnsi="LiberationSans-Regular" w:cs="LiberationSans-Regular"/>
          <w:sz w:val="24"/>
          <w:szCs w:val="24"/>
        </w:rPr>
        <w:t xml:space="preserve">umeral 1 de la </w:t>
      </w:r>
      <w:r w:rsidR="008B3931">
        <w:rPr>
          <w:rFonts w:ascii="LiberationSans-Regular" w:hAnsi="LiberationSans-Regular" w:cs="LiberationSans-Regular"/>
          <w:sz w:val="24"/>
          <w:szCs w:val="24"/>
        </w:rPr>
        <w:t xml:space="preserve">        </w:t>
      </w:r>
      <w:r>
        <w:rPr>
          <w:rFonts w:ascii="LiberationSans-Regular" w:hAnsi="LiberationSans-Regular" w:cs="LiberationSans-Regular"/>
          <w:sz w:val="24"/>
          <w:szCs w:val="24"/>
        </w:rPr>
        <w:t>Ley 9515, que autoriza al Intendente, con acuerdo de la Junta Departamental por dos tercios de votos, a adquirir terrenos y edificios para oficinas y establecimientos departamental</w:t>
      </w:r>
      <w:r w:rsidR="008B3931">
        <w:rPr>
          <w:rFonts w:ascii="LiberationSans-Regular" w:hAnsi="LiberationSans-Regular" w:cs="LiberationSans-Regular"/>
          <w:sz w:val="24"/>
          <w:szCs w:val="24"/>
        </w:rPr>
        <w:t>es</w:t>
      </w:r>
      <w:r>
        <w:rPr>
          <w:rFonts w:ascii="LiberationSans-Regular" w:hAnsi="LiberationSans-Regular" w:cs="LiberationSans-Regular"/>
          <w:sz w:val="24"/>
          <w:szCs w:val="24"/>
        </w:rPr>
        <w:t xml:space="preserve"> o mandar adquirir otros nuevos. Lo que se amplía es el destino para la compra de inmuebles;</w:t>
      </w:r>
    </w:p>
    <w:p w:rsidR="005D173C" w:rsidRDefault="005D173C" w:rsidP="008B3931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5D173C">
        <w:rPr>
          <w:rFonts w:ascii="LiberationSans-Regular" w:hAnsi="LiberationSans-Regular" w:cs="LiberationSans-Regular"/>
          <w:b/>
          <w:sz w:val="24"/>
          <w:szCs w:val="24"/>
        </w:rPr>
        <w:t>2)</w:t>
      </w:r>
      <w:r>
        <w:rPr>
          <w:rFonts w:ascii="LiberationSans-Regular" w:hAnsi="LiberationSans-Regular" w:cs="LiberationSans-Regular"/>
          <w:sz w:val="24"/>
          <w:szCs w:val="24"/>
        </w:rPr>
        <w:t xml:space="preserve"> que lo expresado en el </w:t>
      </w:r>
      <w:r w:rsidR="008B3931">
        <w:rPr>
          <w:rFonts w:ascii="LiberationSans-Regular" w:hAnsi="LiberationSans-Regular" w:cs="LiberationSans-Regular"/>
          <w:sz w:val="24"/>
          <w:szCs w:val="24"/>
        </w:rPr>
        <w:t>C</w:t>
      </w:r>
      <w:r>
        <w:rPr>
          <w:rFonts w:ascii="LiberationSans-Regular" w:hAnsi="LiberationSans-Regular" w:cs="LiberationSans-Regular"/>
          <w:sz w:val="24"/>
          <w:szCs w:val="24"/>
        </w:rPr>
        <w:t>onsiderando precedente no implica por sí que esté dentro de las competencias de los Gobiernos Departamentales la construcción de viviendas;</w:t>
      </w:r>
    </w:p>
    <w:p w:rsidR="005D173C" w:rsidRDefault="005D173C" w:rsidP="008B393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ATENTO: </w:t>
      </w:r>
      <w:r>
        <w:rPr>
          <w:rFonts w:ascii="LiberationSans-Regular" w:hAnsi="LiberationSans-Regular" w:cs="LiberationSans-Regular"/>
          <w:sz w:val="24"/>
          <w:szCs w:val="24"/>
        </w:rPr>
        <w:t xml:space="preserve">a lo precedentemente expuesto y a lo establecido en el </w:t>
      </w:r>
      <w:r w:rsidR="008B3931">
        <w:rPr>
          <w:rFonts w:ascii="LiberationSans-Regular" w:hAnsi="LiberationSans-Regular" w:cs="LiberationSans-Regular"/>
          <w:sz w:val="24"/>
          <w:szCs w:val="24"/>
        </w:rPr>
        <w:t>A</w:t>
      </w:r>
      <w:r>
        <w:rPr>
          <w:rFonts w:ascii="LiberationSans-Regular" w:hAnsi="LiberationSans-Regular" w:cs="LiberationSans-Regular"/>
          <w:sz w:val="24"/>
          <w:szCs w:val="24"/>
        </w:rPr>
        <w:t>rtículo 211</w:t>
      </w:r>
      <w:r w:rsidR="008B3931">
        <w:rPr>
          <w:rFonts w:ascii="LiberationSans-Regular" w:hAnsi="LiberationSans-Regular" w:cs="LiberationSans-Regular"/>
          <w:sz w:val="24"/>
          <w:szCs w:val="24"/>
        </w:rPr>
        <w:t xml:space="preserve"> L</w:t>
      </w:r>
      <w:r>
        <w:rPr>
          <w:rFonts w:ascii="LiberationSans-Regular" w:hAnsi="LiberationSans-Regular" w:cs="LiberationSans-Regular"/>
          <w:sz w:val="24"/>
          <w:szCs w:val="24"/>
        </w:rPr>
        <w:t>iteral B) de la Constitución de la República;</w:t>
      </w:r>
    </w:p>
    <w:p w:rsidR="005D173C" w:rsidRPr="008B3931" w:rsidRDefault="005D173C" w:rsidP="005D173C">
      <w:pPr>
        <w:autoSpaceDE w:val="0"/>
        <w:autoSpaceDN w:val="0"/>
        <w:adjustRightInd w:val="0"/>
        <w:spacing w:after="0" w:line="360" w:lineRule="auto"/>
        <w:jc w:val="center"/>
        <w:rPr>
          <w:rFonts w:ascii="LiberationSans-BoldItalic" w:hAnsi="LiberationSans-BoldItalic" w:cs="LiberationSans-BoldItalic"/>
          <w:b/>
          <w:bCs/>
          <w:iCs/>
          <w:sz w:val="24"/>
          <w:szCs w:val="24"/>
        </w:rPr>
      </w:pPr>
      <w:r w:rsidRPr="008B3931">
        <w:rPr>
          <w:rFonts w:ascii="LiberationSans-BoldItalic" w:hAnsi="LiberationSans-BoldItalic" w:cs="LiberationSans-BoldItalic"/>
          <w:b/>
          <w:bCs/>
          <w:iCs/>
          <w:sz w:val="24"/>
          <w:szCs w:val="24"/>
        </w:rPr>
        <w:t>EL TRIBUNAL ACUERDA: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DejaVuSansMono-Bold" w:hAnsi="DejaVuSansMono-Bold" w:cs="DejaVuSansMono-Bold"/>
          <w:b/>
          <w:bCs/>
          <w:sz w:val="24"/>
          <w:szCs w:val="24"/>
        </w:rPr>
        <w:t xml:space="preserve">1) </w:t>
      </w:r>
      <w:r>
        <w:rPr>
          <w:rFonts w:ascii="DejaVuSansMono-Bold" w:hAnsi="DejaVuSansMono-Bold" w:cs="DejaVuSansMono-Bold"/>
          <w:bCs/>
          <w:sz w:val="24"/>
          <w:szCs w:val="24"/>
        </w:rPr>
        <w:t>Intervenir el gasto</w:t>
      </w:r>
      <w:r>
        <w:rPr>
          <w:rFonts w:ascii="LiberationSans-Regular" w:hAnsi="LiberationSans-Regular" w:cs="LiberationSans-Regular"/>
          <w:sz w:val="24"/>
          <w:szCs w:val="24"/>
        </w:rPr>
        <w:t>;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2) </w:t>
      </w:r>
      <w:r>
        <w:rPr>
          <w:rFonts w:ascii="LiberationSans-Regular" w:hAnsi="LiberationSans-Regular" w:cs="LiberationSans-Regular"/>
          <w:sz w:val="24"/>
          <w:szCs w:val="24"/>
        </w:rPr>
        <w:t>Téngase presente lo expresado en el Considerando 2);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3) </w:t>
      </w:r>
      <w:r>
        <w:rPr>
          <w:rFonts w:ascii="LiberationSans-Regular" w:hAnsi="LiberationSans-Regular" w:cs="LiberationSans-Regular"/>
          <w:sz w:val="24"/>
          <w:szCs w:val="24"/>
        </w:rPr>
        <w:t>Devolver las actuaciones.</w:t>
      </w:r>
    </w:p>
    <w:p w:rsidR="005D173C" w:rsidRDefault="005D173C" w:rsidP="005D173C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</w:p>
    <w:p w:rsidR="005D173C" w:rsidRPr="005D173C" w:rsidRDefault="008713A0" w:rsidP="005D173C">
      <w:pPr>
        <w:spacing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spellStart"/>
      <w:proofErr w:type="gramStart"/>
      <w:r>
        <w:rPr>
          <w:rFonts w:ascii="LiberationSans-Regular" w:hAnsi="LiberationSans-Regular" w:cs="LiberationSans-Regular"/>
          <w:sz w:val="24"/>
          <w:szCs w:val="24"/>
        </w:rPr>
        <w:t>ag</w:t>
      </w:r>
      <w:proofErr w:type="spellEnd"/>
      <w:proofErr w:type="gramEnd"/>
    </w:p>
    <w:sectPr w:rsidR="005D173C" w:rsidRPr="005D173C" w:rsidSect="0096448E">
      <w:pgSz w:w="11906" w:h="16838" w:code="9"/>
      <w:pgMar w:top="306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31" w:rsidRDefault="008B3931" w:rsidP="005D173C">
      <w:pPr>
        <w:spacing w:after="0" w:line="240" w:lineRule="auto"/>
      </w:pPr>
      <w:r>
        <w:separator/>
      </w:r>
    </w:p>
  </w:endnote>
  <w:endnote w:type="continuationSeparator" w:id="0">
    <w:p w:rsidR="008B3931" w:rsidRDefault="008B3931" w:rsidP="005D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an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Mo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31" w:rsidRDefault="008B3931" w:rsidP="005D173C">
      <w:pPr>
        <w:spacing w:after="0" w:line="240" w:lineRule="auto"/>
      </w:pPr>
      <w:r>
        <w:separator/>
      </w:r>
    </w:p>
  </w:footnote>
  <w:footnote w:type="continuationSeparator" w:id="0">
    <w:p w:rsidR="008B3931" w:rsidRDefault="008B3931" w:rsidP="005D1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3C"/>
    <w:rsid w:val="00017AAC"/>
    <w:rsid w:val="00085441"/>
    <w:rsid w:val="00204505"/>
    <w:rsid w:val="00222074"/>
    <w:rsid w:val="002531AC"/>
    <w:rsid w:val="003617E4"/>
    <w:rsid w:val="004D4F4C"/>
    <w:rsid w:val="005D173C"/>
    <w:rsid w:val="0070254B"/>
    <w:rsid w:val="008713A0"/>
    <w:rsid w:val="008B3931"/>
    <w:rsid w:val="00956A8E"/>
    <w:rsid w:val="0096448E"/>
    <w:rsid w:val="00A97F6A"/>
    <w:rsid w:val="00BF1ACD"/>
    <w:rsid w:val="00E91840"/>
    <w:rsid w:val="00FC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73C"/>
  </w:style>
  <w:style w:type="paragraph" w:styleId="Piedepgina">
    <w:name w:val="footer"/>
    <w:basedOn w:val="Normal"/>
    <w:link w:val="PiedepginaCar"/>
    <w:uiPriority w:val="99"/>
    <w:unhideWhenUsed/>
    <w:rsid w:val="005D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73C"/>
  </w:style>
  <w:style w:type="paragraph" w:styleId="Textodeglobo">
    <w:name w:val="Balloon Text"/>
    <w:basedOn w:val="Normal"/>
    <w:link w:val="TextodegloboCar"/>
    <w:uiPriority w:val="99"/>
    <w:semiHidden/>
    <w:unhideWhenUsed/>
    <w:rsid w:val="0096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73C"/>
  </w:style>
  <w:style w:type="paragraph" w:styleId="Piedepgina">
    <w:name w:val="footer"/>
    <w:basedOn w:val="Normal"/>
    <w:link w:val="PiedepginaCar"/>
    <w:uiPriority w:val="99"/>
    <w:unhideWhenUsed/>
    <w:rsid w:val="005D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73C"/>
  </w:style>
  <w:style w:type="paragraph" w:styleId="Textodeglobo">
    <w:name w:val="Balloon Text"/>
    <w:basedOn w:val="Normal"/>
    <w:link w:val="TextodegloboCar"/>
    <w:uiPriority w:val="99"/>
    <w:semiHidden/>
    <w:unhideWhenUsed/>
    <w:rsid w:val="0096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OVIEDO PELAEZ</dc:creator>
  <cp:lastModifiedBy>Lenovo User</cp:lastModifiedBy>
  <cp:revision>27</cp:revision>
  <cp:lastPrinted>2014-02-10T14:08:00Z</cp:lastPrinted>
  <dcterms:created xsi:type="dcterms:W3CDTF">2014-02-10T13:55:00Z</dcterms:created>
  <dcterms:modified xsi:type="dcterms:W3CDTF">2014-02-10T14:08:00Z</dcterms:modified>
</cp:coreProperties>
</file>