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4A" w:rsidRDefault="002B404A">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2B404A" w:rsidRDefault="002B404A">
      <w:pPr>
        <w:tabs>
          <w:tab w:val="left" w:pos="-720"/>
        </w:tabs>
        <w:suppressAutoHyphens/>
        <w:jc w:val="center"/>
        <w:rPr>
          <w:rFonts w:ascii="Helvetica" w:hAnsi="Helvetica"/>
          <w:b/>
          <w:lang w:val="es-ES_tradnl"/>
        </w:rPr>
      </w:pPr>
    </w:p>
    <w:p w:rsidR="002B404A" w:rsidRDefault="002B404A">
      <w:pPr>
        <w:tabs>
          <w:tab w:val="center" w:pos="4253"/>
        </w:tabs>
        <w:suppressAutoHyphens/>
        <w:jc w:val="center"/>
        <w:rPr>
          <w:rFonts w:ascii="Helvetica" w:hAnsi="Helvetica"/>
          <w:b/>
          <w:lang w:val="es-ES_tradnl"/>
        </w:rPr>
      </w:pPr>
      <w:r>
        <w:rPr>
          <w:rFonts w:ascii="Helvetica" w:hAnsi="Helvetica"/>
          <w:b/>
          <w:lang w:val="es-ES_tradnl"/>
        </w:rPr>
        <w:t>TRIBUNAL DE CUENTAS</w:t>
      </w:r>
    </w:p>
    <w:p w:rsidR="002B404A" w:rsidRDefault="002B404A">
      <w:pPr>
        <w:tabs>
          <w:tab w:val="left" w:pos="-720"/>
        </w:tabs>
        <w:suppressAutoHyphens/>
        <w:jc w:val="center"/>
        <w:rPr>
          <w:rFonts w:ascii="Helvetica" w:hAnsi="Helvetica"/>
          <w:b/>
          <w:lang w:val="es-ES_tradnl"/>
        </w:rPr>
      </w:pPr>
    </w:p>
    <w:p w:rsidR="002B404A" w:rsidRDefault="002B404A">
      <w:pPr>
        <w:tabs>
          <w:tab w:val="center" w:pos="4253"/>
        </w:tabs>
        <w:suppressAutoHyphens/>
        <w:jc w:val="center"/>
        <w:rPr>
          <w:rFonts w:ascii="Helvetica" w:hAnsi="Helvetica"/>
          <w:b/>
          <w:lang w:val="es-ES_tradnl"/>
        </w:rPr>
      </w:pPr>
      <w:r>
        <w:rPr>
          <w:rFonts w:ascii="Helvetica" w:hAnsi="Helvetica"/>
          <w:b/>
          <w:lang w:val="es-ES_tradnl"/>
        </w:rPr>
        <w:t>EN SESION DE FECHA 5 DE FEBRERO DE 2014</w:t>
      </w:r>
    </w:p>
    <w:p w:rsidR="002B404A" w:rsidRDefault="002B404A">
      <w:pPr>
        <w:tabs>
          <w:tab w:val="center" w:pos="4253"/>
        </w:tabs>
        <w:suppressAutoHyphens/>
        <w:jc w:val="center"/>
        <w:rPr>
          <w:rFonts w:ascii="Helvetica" w:hAnsi="Helvetica"/>
          <w:b/>
          <w:lang w:val="es-ES_tradnl"/>
        </w:rPr>
      </w:pPr>
    </w:p>
    <w:p w:rsidR="002B404A" w:rsidRDefault="002B404A">
      <w:pPr>
        <w:tabs>
          <w:tab w:val="center" w:pos="4253"/>
        </w:tabs>
        <w:suppressAutoHyphens/>
        <w:jc w:val="center"/>
        <w:rPr>
          <w:rFonts w:ascii="Helvetica" w:hAnsi="Helvetica"/>
          <w:b/>
          <w:lang w:val="es-ES_tradnl"/>
        </w:rPr>
      </w:pPr>
      <w:r>
        <w:rPr>
          <w:rFonts w:ascii="Helvetica" w:hAnsi="Helvetica"/>
          <w:b/>
          <w:lang w:val="es-ES_tradnl"/>
        </w:rPr>
        <w:t>(E.E. Nº 20</w:t>
      </w:r>
      <w:r w:rsidR="003613AC">
        <w:rPr>
          <w:rFonts w:ascii="Helvetica" w:hAnsi="Helvetica"/>
          <w:b/>
          <w:lang w:val="es-ES_tradnl"/>
        </w:rPr>
        <w:t xml:space="preserve">13-17-1-0008708, </w:t>
      </w:r>
      <w:proofErr w:type="spellStart"/>
      <w:r w:rsidR="003613AC">
        <w:rPr>
          <w:rFonts w:ascii="Helvetica" w:hAnsi="Helvetica"/>
          <w:b/>
          <w:lang w:val="es-ES_tradnl"/>
        </w:rPr>
        <w:t>Ent</w:t>
      </w:r>
      <w:proofErr w:type="spellEnd"/>
      <w:r w:rsidR="003613AC">
        <w:rPr>
          <w:rFonts w:ascii="Helvetica" w:hAnsi="Helvetica"/>
          <w:b/>
          <w:lang w:val="es-ES_tradnl"/>
        </w:rPr>
        <w:t>. Nº 7391/13</w:t>
      </w:r>
      <w:bookmarkStart w:id="0" w:name="_GoBack"/>
      <w:bookmarkEnd w:id="0"/>
      <w:r>
        <w:rPr>
          <w:rFonts w:ascii="Helvetica" w:hAnsi="Helvetica"/>
          <w:b/>
          <w:lang w:val="es-ES_tradnl"/>
        </w:rPr>
        <w:t>)</w:t>
      </w:r>
    </w:p>
    <w:p w:rsidR="002B404A" w:rsidRDefault="002B404A">
      <w:pPr>
        <w:tabs>
          <w:tab w:val="center" w:pos="4253"/>
        </w:tabs>
        <w:suppressAutoHyphens/>
        <w:jc w:val="center"/>
        <w:rPr>
          <w:spacing w:val="-3"/>
          <w:lang w:val="es-ES_tradnl"/>
        </w:rPr>
      </w:pPr>
    </w:p>
    <w:p w:rsidR="002B404A" w:rsidRDefault="002B404A">
      <w:pPr>
        <w:tabs>
          <w:tab w:val="center" w:pos="4253"/>
        </w:tabs>
        <w:suppressAutoHyphens/>
        <w:rPr>
          <w:spacing w:val="-3"/>
          <w:lang w:val="es-ES_tradnl"/>
        </w:rPr>
      </w:pPr>
    </w:p>
    <w:p w:rsidR="002B404A" w:rsidRDefault="002B404A"/>
    <w:p w:rsidR="00390DB7" w:rsidRDefault="00390DB7" w:rsidP="00390DB7">
      <w:pPr>
        <w:spacing w:line="360" w:lineRule="auto"/>
        <w:ind w:firstLine="851"/>
        <w:jc w:val="both"/>
        <w:rPr>
          <w:bCs/>
        </w:rPr>
      </w:pPr>
      <w:r>
        <w:rPr>
          <w:b/>
          <w:bCs/>
        </w:rPr>
        <w:t xml:space="preserve">VISTO: </w:t>
      </w:r>
      <w:r>
        <w:rPr>
          <w:bCs/>
        </w:rPr>
        <w:t>el Oficio Nº 409/13 de fecha 19.12.13 y las actuaciones adjuntas remitidas por la Intendencia de Río Negro, relacionadas con la Licitación Pública N° 05/2013 para la concesión de la explotación comercial y de servicios en balneario Las Cañas de la Ciudad de Fray Bentos;</w:t>
      </w:r>
    </w:p>
    <w:p w:rsidR="00390DB7" w:rsidRDefault="00390DB7" w:rsidP="00390DB7">
      <w:pPr>
        <w:spacing w:line="360" w:lineRule="auto"/>
        <w:ind w:firstLine="851"/>
        <w:jc w:val="both"/>
      </w:pPr>
      <w:r>
        <w:rPr>
          <w:b/>
          <w:bCs/>
        </w:rPr>
        <w:t xml:space="preserve">RESULTANDO:  1) </w:t>
      </w:r>
      <w:r>
        <w:t xml:space="preserve"> que por Resolución del Intendente N° 1219 de fecha 19.11.13, se dispuso llamar a Licitación P</w:t>
      </w:r>
      <w:r w:rsidR="00981057">
        <w:t>ública</w:t>
      </w:r>
      <w:r>
        <w:t xml:space="preserve"> a interesados en la explotación comercial y de servicios de los siguientes locales, espacios públicos y servicios: 1) Local "La Loma", 2) Local ex Policlínica, 3) Local ex Oficina de Deporte y Juventud (zona El Naranjo), 4) Local ex Farmacia, 5) Carro Chivitero N°1, 6) Carro Chivitero N° 2, 7) Heladería (local frente a la entrada del Arroyo Las Cañas, 8) Actividades recreativas náuticas y organización de paseos, y  9) Actividades recreativas terrestres y organización de paseos. El Intendente dispuso que el plazo entre la publicación del llamado y la apertura del mismo fuera de cinco días, haciendo uso la Administración de las facultades establecidas en el Artículo 51 inciso 2 del T.O.C.A.F., fundando el uso de las mismas en la urgencia en otorgar las concesiones, ante lo cercana que estaba la temporada estival 2013/2014;</w:t>
      </w:r>
    </w:p>
    <w:p w:rsidR="00390DB7" w:rsidRDefault="00390DB7" w:rsidP="00390DB7">
      <w:pPr>
        <w:spacing w:line="360" w:lineRule="auto"/>
        <w:ind w:firstLine="2835"/>
        <w:jc w:val="both"/>
      </w:pPr>
      <w:r w:rsidRPr="003C3180">
        <w:rPr>
          <w:b/>
        </w:rPr>
        <w:t>2</w:t>
      </w:r>
      <w:r w:rsidRPr="003C3180">
        <w:rPr>
          <w:b/>
          <w:bCs/>
        </w:rPr>
        <w:t>)</w:t>
      </w:r>
      <w:r>
        <w:t xml:space="preserve"> que se realizaron publicaciones en Sitio Web de Compras y Contrataciones Estatales con fecha 20.11.13, en el Diario Oficial </w:t>
      </w:r>
      <w:r w:rsidR="00981057">
        <w:t>co</w:t>
      </w:r>
      <w:r>
        <w:t xml:space="preserve">n fecha 22.11.13, Revista Contacto </w:t>
      </w:r>
      <w:r w:rsidR="00981057">
        <w:t>de</w:t>
      </w:r>
      <w:r>
        <w:t xml:space="preserve"> fecha 23.11.13, Diario La República de fecha 21.11.13, en la Publicación El Nuevo Rionegrense y se cursaron comunicados al Alcalde del Municipio de Young, Oficina de la I.R.N. en Montevideo, y al Congreso Nacional de Intendentes en fecha 20.11.13;</w:t>
      </w:r>
    </w:p>
    <w:p w:rsidR="00390DB7" w:rsidRDefault="00390DB7" w:rsidP="00390DB7">
      <w:pPr>
        <w:spacing w:line="360" w:lineRule="auto"/>
        <w:ind w:firstLine="2835"/>
        <w:jc w:val="both"/>
      </w:pPr>
      <w:r w:rsidRPr="003C3180">
        <w:rPr>
          <w:b/>
        </w:rPr>
        <w:lastRenderedPageBreak/>
        <w:t>3)</w:t>
      </w:r>
      <w:r>
        <w:rPr>
          <w:b/>
        </w:rPr>
        <w:t xml:space="preserve">  </w:t>
      </w:r>
      <w:r>
        <w:t xml:space="preserve">que con fecha 29.11.13, se realizó la apertura de ofertas, a la que se presentaron  las </w:t>
      </w:r>
      <w:r w:rsidR="00981057">
        <w:t>F</w:t>
      </w:r>
      <w:r>
        <w:t xml:space="preserve">irmas Heladería Topo </w:t>
      </w:r>
      <w:proofErr w:type="spellStart"/>
      <w:r>
        <w:t>Gigio</w:t>
      </w:r>
      <w:proofErr w:type="spellEnd"/>
      <w:r>
        <w:t xml:space="preserve"> (</w:t>
      </w:r>
      <w:proofErr w:type="spellStart"/>
      <w:r>
        <w:t>item</w:t>
      </w:r>
      <w:proofErr w:type="spellEnd"/>
      <w:r>
        <w:t xml:space="preserve"> 7), Puntas de Diamante SRL (</w:t>
      </w:r>
      <w:proofErr w:type="spellStart"/>
      <w:r>
        <w:t>item</w:t>
      </w:r>
      <w:proofErr w:type="spellEnd"/>
      <w:r>
        <w:t xml:space="preserve"> 4), Helados Mallorca (</w:t>
      </w:r>
      <w:proofErr w:type="spellStart"/>
      <w:r>
        <w:t>item</w:t>
      </w:r>
      <w:proofErr w:type="spellEnd"/>
      <w:r>
        <w:t xml:space="preserve"> 7), Pablo Ernesto </w:t>
      </w:r>
      <w:proofErr w:type="spellStart"/>
      <w:r>
        <w:t>Orellano</w:t>
      </w:r>
      <w:proofErr w:type="spellEnd"/>
      <w:r>
        <w:t xml:space="preserve"> </w:t>
      </w:r>
      <w:proofErr w:type="spellStart"/>
      <w:r>
        <w:t>Comunale</w:t>
      </w:r>
      <w:proofErr w:type="spellEnd"/>
      <w:r>
        <w:t xml:space="preserve"> (</w:t>
      </w:r>
      <w:proofErr w:type="spellStart"/>
      <w:r>
        <w:t>item</w:t>
      </w:r>
      <w:proofErr w:type="spellEnd"/>
      <w:r>
        <w:t xml:space="preserve"> 7), Esteban </w:t>
      </w:r>
      <w:proofErr w:type="spellStart"/>
      <w:r>
        <w:t>Imas</w:t>
      </w:r>
      <w:proofErr w:type="spellEnd"/>
      <w:r>
        <w:t xml:space="preserve"> (</w:t>
      </w:r>
      <w:proofErr w:type="spellStart"/>
      <w:r>
        <w:t>item</w:t>
      </w:r>
      <w:proofErr w:type="spellEnd"/>
      <w:r>
        <w:t xml:space="preserve"> 4) y Eduardo Casales (</w:t>
      </w:r>
      <w:proofErr w:type="spellStart"/>
      <w:r>
        <w:t>item</w:t>
      </w:r>
      <w:proofErr w:type="spellEnd"/>
      <w:r>
        <w:t xml:space="preserve"> 1);</w:t>
      </w:r>
    </w:p>
    <w:p w:rsidR="00390DB7" w:rsidRDefault="00390DB7" w:rsidP="00390DB7">
      <w:pPr>
        <w:spacing w:line="360" w:lineRule="auto"/>
        <w:ind w:firstLine="2835"/>
        <w:jc w:val="both"/>
      </w:pPr>
      <w:r w:rsidRPr="003C3180">
        <w:rPr>
          <w:b/>
        </w:rPr>
        <w:t>4</w:t>
      </w:r>
      <w:r w:rsidRPr="003C3180">
        <w:rPr>
          <w:b/>
          <w:bCs/>
        </w:rPr>
        <w:t>)</w:t>
      </w:r>
      <w:r w:rsidR="00E12EA5">
        <w:t xml:space="preserve"> que </w:t>
      </w:r>
      <w:r>
        <w:t>la Dirección de Haci</w:t>
      </w:r>
      <w:r w:rsidR="00E12EA5">
        <w:t xml:space="preserve">enda con </w:t>
      </w:r>
      <w:r>
        <w:t xml:space="preserve">fecha 06.12.13, señaló  que el plazo de la concesión será del 16.12.13 al 30.04.13, que  se ordenaron  las ofertas de acuerdo </w:t>
      </w:r>
      <w:r w:rsidR="00E12EA5">
        <w:t xml:space="preserve">con la conveniencia económica, y </w:t>
      </w:r>
      <w:r>
        <w:t xml:space="preserve">que quedaron desiertos los </w:t>
      </w:r>
      <w:proofErr w:type="spellStart"/>
      <w:r>
        <w:t>items</w:t>
      </w:r>
      <w:proofErr w:type="spellEnd"/>
      <w:r>
        <w:t xml:space="preserve"> 2), 3, 5), 6), 8) y 9);</w:t>
      </w:r>
    </w:p>
    <w:p w:rsidR="00390DB7" w:rsidRDefault="00390DB7" w:rsidP="00390DB7">
      <w:pPr>
        <w:spacing w:line="360" w:lineRule="auto"/>
        <w:ind w:firstLine="2835"/>
        <w:jc w:val="both"/>
      </w:pPr>
      <w:r w:rsidRPr="003C3180">
        <w:rPr>
          <w:b/>
        </w:rPr>
        <w:t>5</w:t>
      </w:r>
      <w:r w:rsidRPr="003C3180">
        <w:rPr>
          <w:b/>
          <w:bCs/>
        </w:rPr>
        <w:t>)</w:t>
      </w:r>
      <w:r>
        <w:t xml:space="preserve"> que la Comisión Asesora, en su informe de fecha 09.12.13, aconsej</w:t>
      </w:r>
      <w:r w:rsidR="00E12EA5">
        <w:t>ó</w:t>
      </w:r>
      <w:r>
        <w:t xml:space="preserve"> adjudicar por ser sus ofertas las más convenientes a los intereses de la Administración: al Sr. Eduardo Casales por una suma de $30.000 pagadera en tres cuotas al 10.01.14, 10.02.14 y 10.03.14 para el </w:t>
      </w:r>
      <w:proofErr w:type="spellStart"/>
      <w:r>
        <w:t>item</w:t>
      </w:r>
      <w:proofErr w:type="spellEnd"/>
      <w:r>
        <w:t xml:space="preserve"> 1), al Sr. Gustavo </w:t>
      </w:r>
      <w:proofErr w:type="spellStart"/>
      <w:r>
        <w:t>Lorenzi</w:t>
      </w:r>
      <w:proofErr w:type="spellEnd"/>
      <w:r>
        <w:t xml:space="preserve"> (Heladería Topo </w:t>
      </w:r>
      <w:proofErr w:type="spellStart"/>
      <w:r>
        <w:t>Gigio</w:t>
      </w:r>
      <w:proofErr w:type="spellEnd"/>
      <w:r>
        <w:t xml:space="preserve">) por una suma de U$ 10.000 pagadera al contado y por adelantado para el </w:t>
      </w:r>
      <w:proofErr w:type="spellStart"/>
      <w:r>
        <w:t>item</w:t>
      </w:r>
      <w:proofErr w:type="spellEnd"/>
      <w:r>
        <w:t xml:space="preserve"> 7), al Sr. Esteban </w:t>
      </w:r>
      <w:proofErr w:type="spellStart"/>
      <w:r>
        <w:t>Imas</w:t>
      </w:r>
      <w:proofErr w:type="spellEnd"/>
      <w:r>
        <w:t xml:space="preserve"> ,en caso de que aclare su oferta en el plazo de 24 horas y la misma sea para el Local Ex Farmacia, lo  que el oferente realizó en el plazo estipulado, aclarando que su oferta efectivamente era para el </w:t>
      </w:r>
      <w:proofErr w:type="spellStart"/>
      <w:r>
        <w:t>item</w:t>
      </w:r>
      <w:proofErr w:type="spellEnd"/>
      <w:r>
        <w:t xml:space="preserve"> 4);</w:t>
      </w:r>
    </w:p>
    <w:p w:rsidR="00390DB7" w:rsidRDefault="00390DB7" w:rsidP="00390DB7">
      <w:pPr>
        <w:spacing w:line="360" w:lineRule="auto"/>
        <w:ind w:firstLine="2835"/>
        <w:jc w:val="both"/>
      </w:pPr>
      <w:r w:rsidRPr="003C3180">
        <w:rPr>
          <w:b/>
        </w:rPr>
        <w:t>6)</w:t>
      </w:r>
      <w:r>
        <w:rPr>
          <w:b/>
        </w:rPr>
        <w:t xml:space="preserve"> </w:t>
      </w:r>
      <w:r>
        <w:t>que el Intendente por Resolución Nº 1359 de fecha 11.12.13, dispuso  adjudicar el procedimiento de referencia, en los términos sugeridos por la Comisión Asesora,  ad referéndum de la intervención del Tribunal de Cuentas y declarando desiertos los restantes rubros licitados;</w:t>
      </w:r>
    </w:p>
    <w:p w:rsidR="00390DB7" w:rsidRDefault="00390DB7" w:rsidP="00390DB7">
      <w:pPr>
        <w:spacing w:line="360" w:lineRule="auto"/>
        <w:ind w:firstLine="851"/>
        <w:jc w:val="both"/>
        <w:rPr>
          <w:bCs/>
        </w:rPr>
      </w:pPr>
      <w:r>
        <w:rPr>
          <w:b/>
          <w:bCs/>
        </w:rPr>
        <w:t xml:space="preserve">CONSIDERANDO: 1) </w:t>
      </w:r>
      <w:r>
        <w:rPr>
          <w:bCs/>
        </w:rPr>
        <w:t>que se encuentra acreditada la causal de excepción para la abreviación del plazo de las publicaciones invocada y fundada por Resolución del Intendente N° 1219 que aprueba el llamado a Licitación, en cumplimiento del Artículo 51 del T.O.C.A.F.;</w:t>
      </w:r>
    </w:p>
    <w:p w:rsidR="00390DB7" w:rsidRDefault="00390DB7" w:rsidP="00390DB7">
      <w:pPr>
        <w:spacing w:line="360" w:lineRule="auto"/>
        <w:ind w:firstLine="3119"/>
        <w:jc w:val="both"/>
      </w:pPr>
      <w:r>
        <w:rPr>
          <w:b/>
        </w:rPr>
        <w:t>2)</w:t>
      </w:r>
      <w:r>
        <w:t xml:space="preserve"> que no obstante, se contraviene lo dispuesto por el Artículo 48 del T.O.C.A.F., en tanto el Artículo 6.6 del Pliego de Condiciones que rigió el llamado, establece como hipótesis de defecto o carencia formal de la propuesta, la no presentación del comprobante del pago </w:t>
      </w:r>
      <w:r>
        <w:lastRenderedPageBreak/>
        <w:t>del Pliego, que no es un requisito que guarde relación con la consideración del objeto de la contratación;</w:t>
      </w:r>
    </w:p>
    <w:p w:rsidR="00390DB7" w:rsidRDefault="00390DB7" w:rsidP="00390DB7">
      <w:pPr>
        <w:spacing w:line="360" w:lineRule="auto"/>
        <w:ind w:firstLine="3119"/>
        <w:jc w:val="both"/>
      </w:pPr>
      <w:r>
        <w:rPr>
          <w:b/>
        </w:rPr>
        <w:t>3)</w:t>
      </w:r>
      <w:r>
        <w:t xml:space="preserve"> que en el proceso de evaluación de las ofertas no se aplicó el sistema de evaluación de las ofertas por factores y ponderación porcentual </w:t>
      </w:r>
      <w:proofErr w:type="gramStart"/>
      <w:r>
        <w:t>previsto</w:t>
      </w:r>
      <w:proofErr w:type="gramEnd"/>
      <w:r>
        <w:t xml:space="preserve"> en el Artículo 7 del Pliego Particular, lo cual configura un apartamiento del mismo;</w:t>
      </w:r>
    </w:p>
    <w:p w:rsidR="00390DB7" w:rsidRDefault="00390DB7" w:rsidP="00390DB7">
      <w:pPr>
        <w:spacing w:line="360" w:lineRule="auto"/>
        <w:ind w:firstLine="3119"/>
        <w:jc w:val="both"/>
        <w:rPr>
          <w:rFonts w:cs="Arial"/>
          <w:bCs/>
          <w:lang w:val="es-MX"/>
        </w:rPr>
      </w:pPr>
      <w:r>
        <w:rPr>
          <w:b/>
        </w:rPr>
        <w:t>4)</w:t>
      </w:r>
      <w:r>
        <w:t xml:space="preserve"> que este</w:t>
      </w:r>
      <w:r>
        <w:rPr>
          <w:rFonts w:cs="Arial"/>
          <w:bCs/>
          <w:lang w:val="es-MX"/>
        </w:rPr>
        <w:t xml:space="preserve"> Tribunal mediante Resoluciones de fechas 11.05.05 y 28.03.07 dispuso que los Organismos del Estado, previamente a aprobar, modificar o rescindir concesiones contractuales de obras, de servicios o de uso de bienes del dominio público o del domi</w:t>
      </w:r>
      <w:r w:rsidR="0009621F">
        <w:rPr>
          <w:rFonts w:cs="Arial"/>
          <w:bCs/>
          <w:lang w:val="es-MX"/>
        </w:rPr>
        <w:t>nio privado del Estado o mixtas</w:t>
      </w:r>
      <w:r>
        <w:rPr>
          <w:rFonts w:cs="Arial"/>
          <w:bCs/>
          <w:lang w:val="es-MX"/>
        </w:rPr>
        <w:t xml:space="preserve">  deberán remitir los antecedentes a </w:t>
      </w:r>
      <w:r w:rsidR="0009621F">
        <w:rPr>
          <w:rFonts w:cs="Arial"/>
          <w:bCs/>
          <w:lang w:val="es-MX"/>
        </w:rPr>
        <w:t>D</w:t>
      </w:r>
      <w:r>
        <w:rPr>
          <w:rFonts w:cs="Arial"/>
          <w:bCs/>
          <w:lang w:val="es-MX"/>
        </w:rPr>
        <w:t>ictamen del Tribunal;</w:t>
      </w:r>
    </w:p>
    <w:p w:rsidR="00390DB7" w:rsidRDefault="00390DB7" w:rsidP="00390DB7">
      <w:pPr>
        <w:spacing w:line="360" w:lineRule="auto"/>
        <w:ind w:firstLine="3119"/>
        <w:jc w:val="both"/>
        <w:rPr>
          <w:rFonts w:cs="Arial"/>
          <w:bCs/>
          <w:lang w:val="es-MX"/>
        </w:rPr>
      </w:pPr>
      <w:r>
        <w:rPr>
          <w:rFonts w:cs="Arial"/>
          <w:b/>
          <w:bCs/>
          <w:lang w:val="es-MX"/>
        </w:rPr>
        <w:t>5)</w:t>
      </w:r>
      <w:r>
        <w:rPr>
          <w:rFonts w:cs="Arial"/>
          <w:bCs/>
          <w:lang w:val="es-MX"/>
        </w:rPr>
        <w:t xml:space="preserve"> que se contravinieron las Resoluciones precitadas, en tanto las concesiones otorgadas comenzaron a ejecutarse con fecha 16.12.13 (Resultando 4 y Artículo 5 del Pliego Particular) y las actuaciones ingresaron a este Tribunal a efectos de su intervención, con fecha 26.12.13;</w:t>
      </w:r>
    </w:p>
    <w:p w:rsidR="00390DB7" w:rsidRDefault="00390DB7" w:rsidP="00390DB7">
      <w:pPr>
        <w:spacing w:line="360" w:lineRule="auto"/>
        <w:ind w:firstLine="851"/>
        <w:jc w:val="both"/>
        <w:rPr>
          <w:rFonts w:cs="Arial"/>
          <w:bCs/>
          <w:lang w:val="es-MX"/>
        </w:rPr>
      </w:pPr>
      <w:r>
        <w:rPr>
          <w:rFonts w:cs="Arial"/>
          <w:b/>
          <w:lang w:val="es-MX"/>
        </w:rPr>
        <w:t>ATENTO:</w:t>
      </w:r>
      <w:r>
        <w:rPr>
          <w:rFonts w:cs="Arial"/>
          <w:bCs/>
          <w:lang w:val="es-MX"/>
        </w:rPr>
        <w:t xml:space="preserve"> a lo precedentemente expuesto y a lo dispuesto por el Artículo 211 literal E) de la Constitución de la República;</w:t>
      </w:r>
    </w:p>
    <w:p w:rsidR="00390DB7" w:rsidRDefault="00390DB7" w:rsidP="00390DB7">
      <w:pPr>
        <w:pStyle w:val="Ttulo1"/>
        <w:spacing w:line="360" w:lineRule="auto"/>
        <w:rPr>
          <w:rFonts w:cs="Arial"/>
          <w:bCs w:val="0"/>
          <w:i/>
          <w:lang w:val="es-MX"/>
        </w:rPr>
      </w:pPr>
      <w:r w:rsidRPr="002D0043">
        <w:rPr>
          <w:rFonts w:cs="Arial"/>
          <w:bCs w:val="0"/>
          <w:lang w:val="es-MX"/>
        </w:rPr>
        <w:t>EL TRIBUNAL ACUERDA</w:t>
      </w:r>
    </w:p>
    <w:p w:rsidR="00390DB7" w:rsidRPr="002D0043" w:rsidRDefault="00390DB7" w:rsidP="00390DB7">
      <w:pPr>
        <w:numPr>
          <w:ilvl w:val="0"/>
          <w:numId w:val="1"/>
        </w:numPr>
        <w:spacing w:line="360" w:lineRule="auto"/>
        <w:jc w:val="both"/>
      </w:pPr>
      <w:r>
        <w:rPr>
          <w:rFonts w:cs="Arial"/>
          <w:bCs/>
          <w:lang w:val="es-MX"/>
        </w:rPr>
        <w:t>Observar el procedimiento seguido;</w:t>
      </w:r>
    </w:p>
    <w:p w:rsidR="00390DB7" w:rsidRDefault="00390DB7" w:rsidP="00390DB7">
      <w:pPr>
        <w:numPr>
          <w:ilvl w:val="0"/>
          <w:numId w:val="1"/>
        </w:numPr>
        <w:spacing w:line="360" w:lineRule="auto"/>
        <w:jc w:val="both"/>
      </w:pPr>
      <w:r>
        <w:rPr>
          <w:rFonts w:cs="Arial"/>
          <w:bCs/>
          <w:lang w:val="es-MX"/>
        </w:rPr>
        <w:t>Dar cuenta a la Junta Departamental;</w:t>
      </w:r>
    </w:p>
    <w:p w:rsidR="00A70C9F" w:rsidRDefault="00390DB7" w:rsidP="00390DB7">
      <w:pPr>
        <w:pStyle w:val="Prrafodelista"/>
        <w:numPr>
          <w:ilvl w:val="0"/>
          <w:numId w:val="1"/>
        </w:numPr>
      </w:pPr>
      <w:r w:rsidRPr="00390DB7">
        <w:rPr>
          <w:rFonts w:cs="Arial"/>
          <w:bCs/>
        </w:rPr>
        <w:t>Devolver las actuaciones.</w:t>
      </w:r>
    </w:p>
    <w:sectPr w:rsidR="00A70C9F" w:rsidSect="00390DB7">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B7FDA"/>
    <w:multiLevelType w:val="hybridMultilevel"/>
    <w:tmpl w:val="0BE83B46"/>
    <w:lvl w:ilvl="0" w:tplc="677A170C">
      <w:start w:val="1"/>
      <w:numFmt w:val="decimal"/>
      <w:lvlText w:val="%1)"/>
      <w:lvlJc w:val="left"/>
      <w:pPr>
        <w:tabs>
          <w:tab w:val="num" w:pos="720"/>
        </w:tabs>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B7"/>
    <w:rsid w:val="0009621F"/>
    <w:rsid w:val="002B404A"/>
    <w:rsid w:val="003613AC"/>
    <w:rsid w:val="00390DB7"/>
    <w:rsid w:val="00981057"/>
    <w:rsid w:val="00A70C9F"/>
    <w:rsid w:val="00E12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B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90DB7"/>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0DB7"/>
    <w:rPr>
      <w:rFonts w:ascii="Arial" w:eastAsia="Times New Roman" w:hAnsi="Arial" w:cs="Times New Roman"/>
      <w:b/>
      <w:bCs/>
      <w:sz w:val="24"/>
      <w:szCs w:val="24"/>
      <w:lang w:eastAsia="es-ES"/>
    </w:rPr>
  </w:style>
  <w:style w:type="paragraph" w:styleId="Prrafodelista">
    <w:name w:val="List Paragraph"/>
    <w:basedOn w:val="Normal"/>
    <w:uiPriority w:val="34"/>
    <w:qFormat/>
    <w:rsid w:val="00390DB7"/>
    <w:pPr>
      <w:ind w:left="720"/>
      <w:contextualSpacing/>
    </w:pPr>
  </w:style>
  <w:style w:type="paragraph" w:styleId="Textodeglobo">
    <w:name w:val="Balloon Text"/>
    <w:basedOn w:val="Normal"/>
    <w:link w:val="TextodegloboCar"/>
    <w:uiPriority w:val="99"/>
    <w:semiHidden/>
    <w:unhideWhenUsed/>
    <w:rsid w:val="003613AC"/>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3AC"/>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B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90DB7"/>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0DB7"/>
    <w:rPr>
      <w:rFonts w:ascii="Arial" w:eastAsia="Times New Roman" w:hAnsi="Arial" w:cs="Times New Roman"/>
      <w:b/>
      <w:bCs/>
      <w:sz w:val="24"/>
      <w:szCs w:val="24"/>
      <w:lang w:eastAsia="es-ES"/>
    </w:rPr>
  </w:style>
  <w:style w:type="paragraph" w:styleId="Prrafodelista">
    <w:name w:val="List Paragraph"/>
    <w:basedOn w:val="Normal"/>
    <w:uiPriority w:val="34"/>
    <w:qFormat/>
    <w:rsid w:val="00390DB7"/>
    <w:pPr>
      <w:ind w:left="720"/>
      <w:contextualSpacing/>
    </w:pPr>
  </w:style>
  <w:style w:type="paragraph" w:styleId="Textodeglobo">
    <w:name w:val="Balloon Text"/>
    <w:basedOn w:val="Normal"/>
    <w:link w:val="TextodegloboCar"/>
    <w:uiPriority w:val="99"/>
    <w:semiHidden/>
    <w:unhideWhenUsed/>
    <w:rsid w:val="003613AC"/>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3AC"/>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764</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27391107</cp:lastModifiedBy>
  <cp:revision>8</cp:revision>
  <cp:lastPrinted>2014-02-13T15:38:00Z</cp:lastPrinted>
  <dcterms:created xsi:type="dcterms:W3CDTF">2014-02-11T16:01:00Z</dcterms:created>
  <dcterms:modified xsi:type="dcterms:W3CDTF">2014-02-13T15:39:00Z</dcterms:modified>
</cp:coreProperties>
</file>