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A4" w:rsidRDefault="00BB1FA4" w:rsidP="002068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B1FA4" w:rsidRDefault="00BB1FA4" w:rsidP="0020685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B1FA4" w:rsidRDefault="00BB1FA4" w:rsidP="002068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B1FA4" w:rsidRDefault="00BB1FA4" w:rsidP="0020685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B1FA4" w:rsidRDefault="00BB1FA4" w:rsidP="002068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22 DE ENERO DE 2014</w:t>
      </w:r>
    </w:p>
    <w:p w:rsidR="00BB1FA4" w:rsidRDefault="00BB1FA4" w:rsidP="002068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B1FA4" w:rsidRPr="00BB1FA4" w:rsidRDefault="00BB1FA4" w:rsidP="002068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B1FA4">
        <w:rPr>
          <w:rFonts w:ascii="Helvetica" w:hAnsi="Helvetica"/>
          <w:b/>
          <w:lang w:val="es-UY"/>
        </w:rPr>
        <w:t xml:space="preserve">(E. E. Nº 2013-17-1-0000591, </w:t>
      </w:r>
      <w:proofErr w:type="spellStart"/>
      <w:r w:rsidRPr="00BB1FA4">
        <w:rPr>
          <w:rFonts w:ascii="Helvetica" w:hAnsi="Helvetica"/>
          <w:b/>
          <w:lang w:val="es-UY"/>
        </w:rPr>
        <w:t>Ent</w:t>
      </w:r>
      <w:proofErr w:type="spellEnd"/>
      <w:r w:rsidRPr="00BB1FA4">
        <w:rPr>
          <w:rFonts w:ascii="Helvetica" w:hAnsi="Helvetica"/>
          <w:b/>
          <w:lang w:val="es-UY"/>
        </w:rPr>
        <w:t>. N° 129/14)</w:t>
      </w:r>
    </w:p>
    <w:p w:rsidR="00BB1FA4" w:rsidRPr="00BB1FA4" w:rsidRDefault="00BB1FA4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BB1FA4" w:rsidRPr="00BB1FA4" w:rsidRDefault="00BB1FA4">
      <w:pPr>
        <w:tabs>
          <w:tab w:val="center" w:pos="4253"/>
        </w:tabs>
        <w:suppressAutoHyphens/>
        <w:rPr>
          <w:spacing w:val="-3"/>
          <w:lang w:val="es-UY"/>
        </w:rPr>
      </w:pPr>
    </w:p>
    <w:p w:rsidR="007D1C9D" w:rsidRDefault="007D1C9D" w:rsidP="00206854">
      <w:pPr>
        <w:spacing w:line="360" w:lineRule="auto"/>
        <w:ind w:firstLine="851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VISTO: </w:t>
      </w:r>
      <w:r>
        <w:rPr>
          <w:rFonts w:cs="Arial"/>
          <w:bCs/>
          <w:lang w:val="es-MX"/>
        </w:rPr>
        <w:t xml:space="preserve">estas actuaciones remitidas por la Intendencia de Maldonado, relacionadas con la reiteración </w:t>
      </w:r>
      <w:r w:rsidR="00B26B86">
        <w:rPr>
          <w:rFonts w:cs="Arial"/>
          <w:bCs/>
          <w:lang w:val="es-MX"/>
        </w:rPr>
        <w:t xml:space="preserve">del gasto emergente </w:t>
      </w:r>
      <w:r>
        <w:rPr>
          <w:rFonts w:cs="Arial"/>
          <w:bCs/>
          <w:lang w:val="es-MX"/>
        </w:rPr>
        <w:t xml:space="preserve">de la prórroga de la Licitación Pública 03/2011, para el suministro, colocación, reposición, recolección, </w:t>
      </w:r>
      <w:proofErr w:type="spellStart"/>
      <w:r>
        <w:rPr>
          <w:rFonts w:cs="Arial"/>
          <w:bCs/>
          <w:lang w:val="es-MX"/>
        </w:rPr>
        <w:t>hidrolavado</w:t>
      </w:r>
      <w:proofErr w:type="spellEnd"/>
      <w:r>
        <w:rPr>
          <w:rFonts w:cs="Arial"/>
          <w:bCs/>
          <w:lang w:val="es-MX"/>
        </w:rPr>
        <w:t xml:space="preserve"> y mantenimiento de hasta 1.350 papeleras en el Departamento de Maldonado;</w:t>
      </w:r>
    </w:p>
    <w:p w:rsidR="007D1C9D" w:rsidRDefault="007D1C9D" w:rsidP="00206854">
      <w:pPr>
        <w:pStyle w:val="Textoindependiente"/>
        <w:ind w:firstLine="851"/>
      </w:pPr>
      <w:r>
        <w:rPr>
          <w:b/>
        </w:rPr>
        <w:t>RESULTANDO: 1)</w:t>
      </w:r>
      <w:r>
        <w:t xml:space="preserve"> que por Resolución Nº 8928/11 de fecha 31.10.11 el Intendente dispuso adjudicar a CAFERR S.R.L. la licitación de referencia por el período de dos años. </w:t>
      </w:r>
      <w:r w:rsidR="00BB1FA4">
        <w:t>E</w:t>
      </w:r>
      <w:r>
        <w:t>ste Tribunal</w:t>
      </w:r>
      <w:r w:rsidR="00B26B86">
        <w:t>,</w:t>
      </w:r>
      <w:r>
        <w:t xml:space="preserve"> </w:t>
      </w:r>
      <w:r w:rsidR="00B26B86">
        <w:t xml:space="preserve">en </w:t>
      </w:r>
      <w:r w:rsidR="00BB1FA4">
        <w:t>S</w:t>
      </w:r>
      <w:r w:rsidR="00B26B86">
        <w:t>esión de fecha 28.12.11,</w:t>
      </w:r>
      <w:r>
        <w:t xml:space="preserve"> acordó observar el gasto en razón de que no se </w:t>
      </w:r>
      <w:r w:rsidR="00B26B86">
        <w:t>había dado</w:t>
      </w:r>
      <w:r>
        <w:t xml:space="preserve"> cumplimiento a lo dispuesto en el Artículo 15 del T.O.C.A.F., al comprometer un gasto sin que existiera crédito disponible en el rubro de imputación y el gasto </w:t>
      </w:r>
      <w:r w:rsidR="00BB1FA4">
        <w:t xml:space="preserve">se </w:t>
      </w:r>
      <w:r w:rsidR="00B26B86">
        <w:t>había comenzado a</w:t>
      </w:r>
      <w:r>
        <w:t xml:space="preserve"> ejecutar, sin el control de legalidad previo que compet</w:t>
      </w:r>
      <w:r w:rsidR="00B26B86">
        <w:t>ía</w:t>
      </w:r>
      <w:r>
        <w:t xml:space="preserve"> a este Tribunal, contravini</w:t>
      </w:r>
      <w:r w:rsidR="00BB1FA4">
        <w:t>e</w:t>
      </w:r>
      <w:r>
        <w:t xml:space="preserve">ndo lo dispuesto por el Artículo 211 Literal B) de la Constitución de la República; </w:t>
      </w:r>
    </w:p>
    <w:p w:rsidR="007D1C9D" w:rsidRDefault="007D1C9D" w:rsidP="00206854">
      <w:pPr>
        <w:pStyle w:val="Textoindependiente"/>
        <w:ind w:firstLine="2694"/>
        <w:rPr>
          <w:b/>
        </w:rPr>
      </w:pPr>
      <w:r>
        <w:rPr>
          <w:b/>
        </w:rPr>
        <w:t xml:space="preserve">2) </w:t>
      </w:r>
      <w:r>
        <w:t>que por Resolución Nº 892/2012 de fecha 30.01.12 el Intendente dispuso reiterar el gasto, expresando que se trata de una actividad a los efectos de preservar la higiene pública que resulta impostergable, y este Tribunal en acuerdo de fecha 23.05.12 mantuvo la observación formulada;</w:t>
      </w:r>
    </w:p>
    <w:p w:rsidR="007D1C9D" w:rsidRDefault="007D1C9D" w:rsidP="00206854">
      <w:pPr>
        <w:pStyle w:val="Textoindependiente"/>
        <w:ind w:firstLine="2694"/>
      </w:pPr>
      <w:r>
        <w:rPr>
          <w:b/>
        </w:rPr>
        <w:t xml:space="preserve">3) </w:t>
      </w:r>
      <w:r>
        <w:t>que posteriormente se remitieron las imputaciones realizadas para el Ejercicio 2013 por las sumas de $734.000 por concepto de ajuste de precios y $</w:t>
      </w:r>
      <w:r w:rsidR="00BB1FA4">
        <w:t xml:space="preserve"> </w:t>
      </w:r>
      <w:r>
        <w:t xml:space="preserve">4:983.100 correspondiente al período enero-noviembre </w:t>
      </w:r>
      <w:r>
        <w:lastRenderedPageBreak/>
        <w:t>2013, con cargo al rubro 5299, auxiliar 10900 el que, de acuerdo con lo informado por Contaduría, no cuenta con disponibilidad presupuestal;</w:t>
      </w:r>
    </w:p>
    <w:p w:rsidR="007D1C9D" w:rsidRDefault="007D1C9D" w:rsidP="00206854">
      <w:pPr>
        <w:pStyle w:val="Textoindependiente"/>
        <w:ind w:firstLine="2694"/>
      </w:pPr>
      <w:r>
        <w:rPr>
          <w:b/>
        </w:rPr>
        <w:t xml:space="preserve">4) </w:t>
      </w:r>
      <w:r>
        <w:t>que en acuerdo de fecha 06.02.13 este Tribunal dispuso observar el gasto de $</w:t>
      </w:r>
      <w:r w:rsidR="001848C1">
        <w:t xml:space="preserve"> </w:t>
      </w:r>
      <w:r>
        <w:t xml:space="preserve">5.717.100 reseñado en el Resultando que antecede, por haberse contravenido en la instancia el </w:t>
      </w:r>
      <w:r w:rsidR="001848C1">
        <w:t>A</w:t>
      </w:r>
      <w:r>
        <w:t>rtículo 15 del  T.O.C.A.F., al comprometerse gastos sin disponibilidad presupuestal;</w:t>
      </w:r>
    </w:p>
    <w:p w:rsidR="007D1C9D" w:rsidRDefault="007D1C9D" w:rsidP="00206854">
      <w:pPr>
        <w:pStyle w:val="Textoindependiente"/>
        <w:ind w:firstLine="2694"/>
      </w:pPr>
      <w:r>
        <w:rPr>
          <w:b/>
        </w:rPr>
        <w:t xml:space="preserve">5) </w:t>
      </w:r>
      <w:r>
        <w:t>que por Resolución del Intendente Nº 02419/13, se dispuso la reiteración del gasto expresando en síntesis que el rubro al momento de la imputación carecía de disponibilidad presupuestal, y que se considera imprescindible e inaplazable insistir en la reiteración basados en razones de preservación de medio ambiente e higiene pública, observación que fue mantenida por este Tribunal en Sesión de 15 de mayo de 2013;</w:t>
      </w:r>
    </w:p>
    <w:p w:rsidR="007D1C9D" w:rsidRDefault="007D1C9D" w:rsidP="00206854">
      <w:pPr>
        <w:pStyle w:val="Textoindependiente"/>
        <w:ind w:firstLine="2694"/>
      </w:pPr>
      <w:r>
        <w:rPr>
          <w:b/>
          <w:bCs w:val="0"/>
        </w:rPr>
        <w:t>6)</w:t>
      </w:r>
      <w:r>
        <w:t xml:space="preserve"> que por Resolución 08597/2013 de 28/10/2013, el Intendente dispone prorrogar</w:t>
      </w:r>
      <w:r w:rsidR="00B26B86">
        <w:t>,</w:t>
      </w:r>
      <w:r>
        <w:t xml:space="preserve"> ad referéndum de la Intervención de este Tribunal</w:t>
      </w:r>
      <w:r w:rsidR="00B26B86">
        <w:t>,</w:t>
      </w:r>
      <w:r>
        <w:t xml:space="preserve"> la Licitación Pública Nº 36/11 por el período de un año a la empresa </w:t>
      </w:r>
      <w:proofErr w:type="spellStart"/>
      <w:r>
        <w:t>Caferr</w:t>
      </w:r>
      <w:proofErr w:type="spellEnd"/>
      <w:r>
        <w:t xml:space="preserve"> S.R.L;</w:t>
      </w:r>
    </w:p>
    <w:p w:rsidR="007D1C9D" w:rsidRDefault="007D1C9D" w:rsidP="00206854">
      <w:pPr>
        <w:pStyle w:val="Textoindependiente"/>
        <w:ind w:firstLine="2694"/>
      </w:pPr>
      <w:r>
        <w:rPr>
          <w:b/>
          <w:bCs w:val="0"/>
        </w:rPr>
        <w:t>7)</w:t>
      </w:r>
      <w:r>
        <w:t xml:space="preserve"> que la Contadora Delegada con fecha 01/11/</w:t>
      </w:r>
      <w:r w:rsidR="00B26B86">
        <w:t>2013, observó</w:t>
      </w:r>
      <w:r>
        <w:t xml:space="preserve"> las imputaciones preventivas por $ 893.2000 y por $ 131.836, por carecer de disponibilidad presupuestal; </w:t>
      </w:r>
    </w:p>
    <w:p w:rsidR="007D1C9D" w:rsidRDefault="007D1C9D" w:rsidP="00206854">
      <w:pPr>
        <w:spacing w:line="360" w:lineRule="auto"/>
        <w:ind w:firstLine="2694"/>
        <w:jc w:val="both"/>
        <w:rPr>
          <w:lang w:val="es-MX"/>
        </w:rPr>
      </w:pPr>
      <w:r>
        <w:rPr>
          <w:b/>
          <w:bCs/>
          <w:lang w:val="es-MX"/>
        </w:rPr>
        <w:t>8)</w:t>
      </w:r>
      <w:r>
        <w:rPr>
          <w:lang w:val="es-MX"/>
        </w:rPr>
        <w:t xml:space="preserve"> que en la oportunidad, el Director General de Hacienda por atribuciones delegadas, reitera el gasto por Resolución 09819/2013 de 03/12/2013 manifestando que resulta imprescindible reiterar el gasto para que no exista una situación de atraso en los pagos que puede dar lugar a reclamos legales justificados;</w:t>
      </w:r>
    </w:p>
    <w:p w:rsidR="007D1C9D" w:rsidRDefault="007D1C9D" w:rsidP="00206854">
      <w:pPr>
        <w:spacing w:line="360" w:lineRule="auto"/>
        <w:ind w:firstLine="851"/>
        <w:jc w:val="both"/>
      </w:pPr>
      <w:r>
        <w:rPr>
          <w:rFonts w:cs="Arial"/>
          <w:b/>
          <w:bCs/>
          <w:lang w:val="es-UY"/>
        </w:rPr>
        <w:t xml:space="preserve">CONSIDERANDO: </w:t>
      </w:r>
      <w:r>
        <w:rPr>
          <w:rFonts w:cs="Arial"/>
          <w:b/>
          <w:bCs/>
        </w:rPr>
        <w:t>1)</w:t>
      </w:r>
      <w:r>
        <w:rPr>
          <w:lang w:val="es-UY"/>
        </w:rPr>
        <w:t xml:space="preserve"> </w:t>
      </w:r>
      <w:r>
        <w:rPr>
          <w:lang w:val="es-MX"/>
        </w:rPr>
        <w:t>que el Art</w:t>
      </w:r>
      <w:r w:rsidR="001848C1">
        <w:rPr>
          <w:lang w:val="es-MX"/>
        </w:rPr>
        <w:t>ículo</w:t>
      </w:r>
      <w:r>
        <w:rPr>
          <w:lang w:val="es-MX"/>
        </w:rPr>
        <w:t xml:space="preserve"> 475 de la Ley 17.296 dispone que los Ordenadores de gastos o pagos, al ejercer la facultad de insistencia  o reiteración que les confiere el Art</w:t>
      </w:r>
      <w:r w:rsidR="001848C1">
        <w:rPr>
          <w:lang w:val="es-MX"/>
        </w:rPr>
        <w:t>ículo</w:t>
      </w:r>
      <w:r>
        <w:rPr>
          <w:lang w:val="es-MX"/>
        </w:rPr>
        <w:t xml:space="preserve"> 211 Lit</w:t>
      </w:r>
      <w:r w:rsidR="001848C1">
        <w:rPr>
          <w:lang w:val="es-MX"/>
        </w:rPr>
        <w:t>eral</w:t>
      </w:r>
      <w:r>
        <w:rPr>
          <w:lang w:val="es-MX"/>
        </w:rPr>
        <w:t xml:space="preserve"> B) de la Constitución de la República deberán hacerlo en forma fundada, detallando los motivos que a su juicio justifican seguir el curso del gasto o pago; </w:t>
      </w:r>
    </w:p>
    <w:p w:rsidR="007D1C9D" w:rsidRDefault="007D1C9D" w:rsidP="00206854">
      <w:pPr>
        <w:pStyle w:val="Ttulo1"/>
        <w:ind w:firstLine="2977"/>
        <w:rPr>
          <w:b w:val="0"/>
          <w:bCs/>
          <w:lang w:val="es-UY"/>
        </w:rPr>
      </w:pPr>
      <w:r>
        <w:rPr>
          <w:lang w:val="es-UY"/>
        </w:rPr>
        <w:lastRenderedPageBreak/>
        <w:t xml:space="preserve">2) </w:t>
      </w:r>
      <w:r>
        <w:rPr>
          <w:b w:val="0"/>
          <w:bCs/>
          <w:lang w:val="es-UY"/>
        </w:rPr>
        <w:t xml:space="preserve">que </w:t>
      </w:r>
      <w:r>
        <w:rPr>
          <w:b w:val="0"/>
        </w:rPr>
        <w:t>los argumentos invocados en la resolución de reiteración del gasto, no subsanan la causal de observación oportunamente efectuada, manteniéndose incambiados los hechos con relevancia jurídica que motivaron la misma</w:t>
      </w:r>
      <w:r>
        <w:rPr>
          <w:b w:val="0"/>
          <w:bCs/>
          <w:lang w:val="es-UY"/>
        </w:rPr>
        <w:t>;</w:t>
      </w:r>
    </w:p>
    <w:p w:rsidR="007D1C9D" w:rsidRDefault="007D1C9D" w:rsidP="00206854">
      <w:pPr>
        <w:pStyle w:val="Ttulo1"/>
        <w:ind w:firstLine="851"/>
      </w:pPr>
      <w:r>
        <w:t>ATENTO:</w:t>
      </w:r>
      <w:r>
        <w:rPr>
          <w:b w:val="0"/>
          <w:bCs/>
        </w:rPr>
        <w:t xml:space="preserve"> a lo expuesto y a lo dispuesto por el </w:t>
      </w:r>
      <w:r w:rsidR="001848C1">
        <w:rPr>
          <w:b w:val="0"/>
          <w:bCs/>
        </w:rPr>
        <w:t>A</w:t>
      </w:r>
      <w:r>
        <w:rPr>
          <w:b w:val="0"/>
          <w:bCs/>
        </w:rPr>
        <w:t>rt</w:t>
      </w:r>
      <w:r w:rsidR="001848C1">
        <w:rPr>
          <w:b w:val="0"/>
          <w:bCs/>
        </w:rPr>
        <w:t>ículo</w:t>
      </w:r>
      <w:r>
        <w:rPr>
          <w:b w:val="0"/>
          <w:bCs/>
        </w:rPr>
        <w:t xml:space="preserve"> 211 </w:t>
      </w:r>
      <w:r w:rsidR="001848C1">
        <w:rPr>
          <w:b w:val="0"/>
          <w:bCs/>
        </w:rPr>
        <w:t>L</w:t>
      </w:r>
      <w:r>
        <w:rPr>
          <w:b w:val="0"/>
          <w:bCs/>
        </w:rPr>
        <w:t>it</w:t>
      </w:r>
      <w:r w:rsidR="001848C1">
        <w:rPr>
          <w:b w:val="0"/>
          <w:bCs/>
        </w:rPr>
        <w:t>eral</w:t>
      </w:r>
      <w:r>
        <w:rPr>
          <w:b w:val="0"/>
          <w:bCs/>
        </w:rPr>
        <w:t xml:space="preserve"> B) de la Constitución de la República;</w:t>
      </w:r>
    </w:p>
    <w:p w:rsidR="007D1C9D" w:rsidRDefault="007D1C9D">
      <w:pPr>
        <w:pStyle w:val="Ttulo1"/>
        <w:jc w:val="center"/>
      </w:pPr>
      <w:r>
        <w:t>EL TRIBUNAL ACUERDA</w:t>
      </w:r>
    </w:p>
    <w:p w:rsidR="007D1C9D" w:rsidRDefault="001848C1" w:rsidP="001848C1">
      <w:pPr>
        <w:spacing w:line="360" w:lineRule="auto"/>
        <w:jc w:val="both"/>
        <w:rPr>
          <w:rFonts w:cs="Arial"/>
        </w:rPr>
      </w:pPr>
      <w:r w:rsidRPr="001848C1">
        <w:rPr>
          <w:rFonts w:cs="Arial"/>
          <w:b/>
        </w:rPr>
        <w:t>1)</w:t>
      </w:r>
      <w:r>
        <w:rPr>
          <w:rFonts w:cs="Arial"/>
        </w:rPr>
        <w:t xml:space="preserve"> </w:t>
      </w:r>
      <w:r w:rsidR="007D1C9D">
        <w:rPr>
          <w:rFonts w:cs="Arial"/>
        </w:rPr>
        <w:t>Mantener la observación formulada con fecha 01/11/13;</w:t>
      </w:r>
    </w:p>
    <w:p w:rsidR="007D1C9D" w:rsidRDefault="001848C1">
      <w:pPr>
        <w:spacing w:line="360" w:lineRule="auto"/>
        <w:jc w:val="both"/>
        <w:rPr>
          <w:rFonts w:cs="Arial"/>
        </w:rPr>
      </w:pPr>
      <w:r w:rsidRPr="001848C1">
        <w:rPr>
          <w:rFonts w:cs="Arial"/>
          <w:b/>
        </w:rPr>
        <w:t>2)</w:t>
      </w:r>
      <w:r>
        <w:rPr>
          <w:rFonts w:cs="Arial"/>
        </w:rPr>
        <w:t xml:space="preserve"> </w:t>
      </w:r>
      <w:r w:rsidR="007D1C9D">
        <w:rPr>
          <w:rFonts w:cs="Arial"/>
        </w:rPr>
        <w:t>Dar cuenta a la Junta Departamental de Maldonado;</w:t>
      </w:r>
    </w:p>
    <w:p w:rsidR="00B26B86" w:rsidRPr="00B26B86" w:rsidRDefault="001848C1" w:rsidP="001848C1">
      <w:pPr>
        <w:spacing w:line="360" w:lineRule="auto"/>
        <w:jc w:val="both"/>
        <w:rPr>
          <w:rFonts w:cs="Arial"/>
          <w:lang w:val="es-MX"/>
        </w:rPr>
      </w:pPr>
      <w:r w:rsidRPr="001848C1">
        <w:rPr>
          <w:rFonts w:cs="Arial"/>
          <w:b/>
        </w:rPr>
        <w:t>3)</w:t>
      </w:r>
      <w:r>
        <w:rPr>
          <w:rFonts w:cs="Arial"/>
        </w:rPr>
        <w:t xml:space="preserve"> </w:t>
      </w:r>
      <w:r w:rsidR="007D1C9D">
        <w:rPr>
          <w:rFonts w:cs="Arial"/>
        </w:rPr>
        <w:t>Comunicar a la Contadora Delegada</w:t>
      </w:r>
      <w:r>
        <w:rPr>
          <w:rFonts w:cs="Arial"/>
        </w:rPr>
        <w:t>; y</w:t>
      </w:r>
    </w:p>
    <w:p w:rsidR="007D1C9D" w:rsidRDefault="001848C1" w:rsidP="001848C1">
      <w:pPr>
        <w:spacing w:line="360" w:lineRule="auto"/>
        <w:jc w:val="both"/>
        <w:rPr>
          <w:rFonts w:cs="Arial"/>
          <w:lang w:val="es-MX"/>
        </w:rPr>
      </w:pPr>
      <w:r w:rsidRPr="001848C1">
        <w:rPr>
          <w:rFonts w:cs="Arial"/>
          <w:b/>
          <w:lang w:val="es-MX"/>
        </w:rPr>
        <w:t>4)</w:t>
      </w:r>
      <w:r>
        <w:rPr>
          <w:rFonts w:cs="Arial"/>
        </w:rPr>
        <w:t xml:space="preserve"> </w:t>
      </w:r>
      <w:r w:rsidR="00B26B86">
        <w:rPr>
          <w:rFonts w:cs="Arial"/>
        </w:rPr>
        <w:t>Devolver los antecedentes.</w:t>
      </w:r>
      <w:r w:rsidR="007D1C9D">
        <w:rPr>
          <w:rFonts w:cs="Arial"/>
        </w:rPr>
        <w:t xml:space="preserve"> </w:t>
      </w:r>
    </w:p>
    <w:p w:rsidR="001848C1" w:rsidRPr="00185470" w:rsidRDefault="001848C1">
      <w:pPr>
        <w:spacing w:line="360" w:lineRule="auto"/>
        <w:jc w:val="both"/>
        <w:rPr>
          <w:rFonts w:cs="Arial"/>
          <w:lang w:val="es-MX"/>
        </w:rPr>
      </w:pPr>
      <w:proofErr w:type="spellStart"/>
      <w:proofErr w:type="gramStart"/>
      <w:r w:rsidRPr="00185470">
        <w:rPr>
          <w:rFonts w:cs="Arial"/>
          <w:lang w:val="es-MX"/>
        </w:rPr>
        <w:t>cr</w:t>
      </w:r>
      <w:proofErr w:type="spellEnd"/>
      <w:proofErr w:type="gramEnd"/>
    </w:p>
    <w:sectPr w:rsidR="001848C1" w:rsidRPr="00185470" w:rsidSect="00BB1FA4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54" w:rsidRDefault="00206854">
      <w:r>
        <w:separator/>
      </w:r>
    </w:p>
  </w:endnote>
  <w:endnote w:type="continuationSeparator" w:id="0">
    <w:p w:rsidR="00206854" w:rsidRDefault="0020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54" w:rsidRDefault="002068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06854" w:rsidRDefault="0020685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54" w:rsidRDefault="002068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12B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06854" w:rsidRDefault="002068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54" w:rsidRDefault="00206854">
      <w:r>
        <w:separator/>
      </w:r>
    </w:p>
  </w:footnote>
  <w:footnote w:type="continuationSeparator" w:id="0">
    <w:p w:rsidR="00206854" w:rsidRDefault="00206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34D068CE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AD2548"/>
    <w:multiLevelType w:val="hybridMultilevel"/>
    <w:tmpl w:val="9E34C634"/>
    <w:lvl w:ilvl="0" w:tplc="6B8C57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E7EA5"/>
    <w:multiLevelType w:val="hybridMultilevel"/>
    <w:tmpl w:val="32E4B9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3565DA"/>
    <w:multiLevelType w:val="hybridMultilevel"/>
    <w:tmpl w:val="F02C712A"/>
    <w:lvl w:ilvl="0" w:tplc="05341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A27972"/>
    <w:multiLevelType w:val="hybridMultilevel"/>
    <w:tmpl w:val="C59ED546"/>
    <w:lvl w:ilvl="0" w:tplc="C5340B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493A45"/>
    <w:multiLevelType w:val="hybridMultilevel"/>
    <w:tmpl w:val="3F983372"/>
    <w:lvl w:ilvl="0" w:tplc="11EE1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A1230F"/>
    <w:multiLevelType w:val="hybridMultilevel"/>
    <w:tmpl w:val="5C4C3D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BF634C"/>
    <w:multiLevelType w:val="hybridMultilevel"/>
    <w:tmpl w:val="D160F58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6E77A5"/>
    <w:multiLevelType w:val="hybridMultilevel"/>
    <w:tmpl w:val="893A094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86"/>
    <w:rsid w:val="001848C1"/>
    <w:rsid w:val="00185470"/>
    <w:rsid w:val="00206854"/>
    <w:rsid w:val="007D1C9D"/>
    <w:rsid w:val="008612BC"/>
    <w:rsid w:val="00B26B86"/>
    <w:rsid w:val="00BB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character" w:styleId="Hipervnculo">
    <w:name w:val="Hyperlink"/>
    <w:semiHidden/>
    <w:unhideWhenUsed/>
    <w:rPr>
      <w:color w:val="0000FF"/>
      <w:u w:val="single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character" w:styleId="Hipervnculovisitado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character" w:styleId="Hipervnculo">
    <w:name w:val="Hyperlink"/>
    <w:semiHidden/>
    <w:unhideWhenUsed/>
    <w:rPr>
      <w:color w:val="0000FF"/>
      <w:u w:val="single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character" w:styleId="Hipervnculovisitado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subject/>
  <dc:creator>Tribunal de Cuentas</dc:creator>
  <cp:keywords/>
  <cp:lastModifiedBy> </cp:lastModifiedBy>
  <cp:revision>3</cp:revision>
  <cp:lastPrinted>2014-01-28T14:04:00Z</cp:lastPrinted>
  <dcterms:created xsi:type="dcterms:W3CDTF">2014-01-28T14:05:00Z</dcterms:created>
  <dcterms:modified xsi:type="dcterms:W3CDTF">2014-02-19T14:11:00Z</dcterms:modified>
</cp:coreProperties>
</file>