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AD" w:rsidRDefault="00A766AD" w:rsidP="002E01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A766AD" w:rsidRDefault="00A766AD" w:rsidP="002E017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66AD" w:rsidRDefault="00A766AD" w:rsidP="002E01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766AD" w:rsidRDefault="00A766AD" w:rsidP="002E017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66AD" w:rsidRDefault="00A766AD" w:rsidP="002E01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22 DE ENERO DE 2014</w:t>
      </w:r>
    </w:p>
    <w:p w:rsidR="00A766AD" w:rsidRDefault="00A766AD" w:rsidP="002E01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766AD" w:rsidRDefault="00A766AD" w:rsidP="002E01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F0B0D">
        <w:rPr>
          <w:rFonts w:ascii="Helvetica" w:hAnsi="Helvetica"/>
          <w:b/>
          <w:lang w:val="en-US"/>
        </w:rPr>
        <w:t xml:space="preserve">(E. E. Nº 2013-17-1-0000036, </w:t>
      </w:r>
      <w:proofErr w:type="spellStart"/>
      <w:proofErr w:type="gramStart"/>
      <w:r w:rsidRPr="000F0B0D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0F0B0D">
        <w:rPr>
          <w:rFonts w:ascii="Helvetica" w:hAnsi="Helvetica"/>
          <w:b/>
          <w:lang w:val="en-US"/>
        </w:rPr>
        <w:t xml:space="preserve">. </w:t>
      </w:r>
      <w:proofErr w:type="gramStart"/>
      <w:r w:rsidRPr="000F0B0D">
        <w:rPr>
          <w:rFonts w:ascii="Helvetica" w:hAnsi="Helvetica"/>
          <w:b/>
          <w:lang w:val="en-US"/>
        </w:rPr>
        <w:t xml:space="preserve">N° </w:t>
      </w:r>
      <w:proofErr w:type="spellStart"/>
      <w:r w:rsidRPr="000F0B0D">
        <w:rPr>
          <w:rFonts w:ascii="Helvetica" w:hAnsi="Helvetica"/>
          <w:b/>
          <w:lang w:val="en-US"/>
        </w:rPr>
        <w:t>inic</w:t>
      </w:r>
      <w:proofErr w:type="spellEnd"/>
      <w:r w:rsidRPr="000F0B0D">
        <w:rPr>
          <w:rFonts w:ascii="Helvetica" w:hAnsi="Helvetica"/>
          <w:b/>
          <w:lang w:val="en-US"/>
        </w:rPr>
        <w:t>.</w:t>
      </w:r>
      <w:proofErr w:type="gramEnd"/>
      <w:r w:rsidRPr="000F0B0D"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s-UY"/>
        </w:rPr>
        <w:t>4/14</w:t>
      </w:r>
      <w:r w:rsidRPr="00A766AD">
        <w:rPr>
          <w:rFonts w:ascii="Helvetica" w:hAnsi="Helvetica"/>
          <w:b/>
          <w:lang w:val="es-UY"/>
        </w:rPr>
        <w:t>)</w:t>
      </w:r>
    </w:p>
    <w:p w:rsidR="002B7022" w:rsidRPr="00A766AD" w:rsidRDefault="002B7022" w:rsidP="002E01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DF008E" w:rsidRDefault="00DF008E">
      <w:pPr>
        <w:jc w:val="center"/>
        <w:rPr>
          <w:b/>
          <w:bCs/>
          <w:highlight w:val="yellow"/>
        </w:rPr>
      </w:pPr>
    </w:p>
    <w:p w:rsidR="00DF008E" w:rsidRDefault="00DF008E" w:rsidP="002E0175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Pr="002E0175">
        <w:rPr>
          <w:b/>
        </w:rPr>
        <w:t>:</w:t>
      </w:r>
      <w:r>
        <w:t xml:space="preserve"> la nota remitida por la Contadora Auditora destacada de este Tribunal ante el Ministerio de Turismo y Deporte de fecha 07.01.2014 , a la que se adjunta Resolución Ministerial de fecha 13.12.13, relacionada con la reiteración del gasto emergente de la transferencia de $33:000.000 a la Corporación Nacional para el Desarrollo en el marco del Programa “Uruguay a Toda Costa”;</w:t>
      </w:r>
    </w:p>
    <w:p w:rsidR="00DF008E" w:rsidRDefault="00DF008E" w:rsidP="002E0175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t>que este Tribunal en Sesión de fecha 30 de diciembre de 2008, acordó observar la transferencia de $</w:t>
      </w:r>
      <w:r w:rsidR="00A766AD">
        <w:t xml:space="preserve"> </w:t>
      </w:r>
      <w:r>
        <w:t>62:400.000 a la Corporación Nacional para el Desarrollo, en razón de que la misma se efectuó en el marco de un convenio no ajustado a derecho;</w:t>
      </w:r>
    </w:p>
    <w:p w:rsidR="00DF008E" w:rsidRDefault="00DF008E" w:rsidP="002B7022">
      <w:pPr>
        <w:spacing w:line="360" w:lineRule="auto"/>
        <w:ind w:firstLine="2835"/>
        <w:jc w:val="both"/>
      </w:pPr>
      <w:r>
        <w:rPr>
          <w:b/>
          <w:bCs/>
        </w:rPr>
        <w:t xml:space="preserve">2) </w:t>
      </w:r>
      <w:r>
        <w:t xml:space="preserve">que posteriormente, en Sesión de fecha 29 de </w:t>
      </w:r>
      <w:r w:rsidRPr="00A766AD">
        <w:rPr>
          <w:spacing w:val="14"/>
        </w:rPr>
        <w:t>diciembre de 2011, este Tribunal acordó observar la transferencia de $</w:t>
      </w:r>
      <w:r w:rsidR="00A766AD">
        <w:t xml:space="preserve"> </w:t>
      </w:r>
      <w:r>
        <w:t xml:space="preserve">65:000.000 a la referida entidad, en mérito al motivo antes </w:t>
      </w:r>
      <w:r w:rsidR="00A0055D">
        <w:t>citado</w:t>
      </w:r>
      <w:r>
        <w:t>;</w:t>
      </w:r>
    </w:p>
    <w:p w:rsidR="00DF008E" w:rsidRDefault="00DF008E" w:rsidP="002B7022">
      <w:pPr>
        <w:pStyle w:val="Sangra2detindependiente"/>
        <w:ind w:firstLine="2835"/>
      </w:pPr>
      <w:r>
        <w:rPr>
          <w:b/>
          <w:bCs/>
        </w:rPr>
        <w:t xml:space="preserve">3) </w:t>
      </w:r>
      <w:r>
        <w:t>que asimismo en Sesión de fecha 23 de enero de 2013, este Tribunal dispuso observar la transferencia de $</w:t>
      </w:r>
      <w:r w:rsidR="00A766AD">
        <w:t xml:space="preserve"> </w:t>
      </w:r>
      <w:r>
        <w:t>82:824.000 por el mismo motivo y porque tampoco resulta ajustado a derecho el otorgamiento de otra partida a la C.N.D. sin que se hayan realizado las correspondientes rendiciones de cuentas de fondos recibidos;</w:t>
      </w:r>
    </w:p>
    <w:p w:rsidR="00DF008E" w:rsidRDefault="00DF008E" w:rsidP="002B7022">
      <w:pPr>
        <w:pStyle w:val="Textoindependiente"/>
        <w:ind w:firstLine="2835"/>
      </w:pPr>
      <w:r>
        <w:rPr>
          <w:b/>
          <w:bCs/>
        </w:rPr>
        <w:t>4)</w:t>
      </w:r>
      <w:r>
        <w:t xml:space="preserve"> que por Resolución de 20 de noviembre de 2013,este Tribunal acordó observar la transferencia dispuesta a la C.N.D. en el marco del Programa “Uruguay a Toda Costa” por la suma de $</w:t>
      </w:r>
      <w:r w:rsidR="00A766AD">
        <w:t xml:space="preserve"> </w:t>
      </w:r>
      <w:r>
        <w:t xml:space="preserve">33:000.000, por disponerse la misma en el marco de un convenio que no resulta ajustado a derecho y por no haber sido efectuadas las correspondientes rendiciones de </w:t>
      </w:r>
      <w:r>
        <w:lastRenderedPageBreak/>
        <w:t xml:space="preserve">cuentas de las dos partidas recibidas anteriormente (conforme al </w:t>
      </w:r>
      <w:r w:rsidR="00A766AD">
        <w:t>A</w:t>
      </w:r>
      <w:r>
        <w:t xml:space="preserve">rtículo 132 del TOCAF y de acuerdo al procedimiento instituido por la Ordenanza Nº 77 de este Tribunal); </w:t>
      </w:r>
    </w:p>
    <w:p w:rsidR="00DF008E" w:rsidRDefault="00DF008E" w:rsidP="002B7022">
      <w:pPr>
        <w:pStyle w:val="Encabezado"/>
        <w:tabs>
          <w:tab w:val="clear" w:pos="4252"/>
          <w:tab w:val="clear" w:pos="8504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</w:rPr>
        <w:t>que en esta oportunidad, se dispone por Resolución Ministerial  de fecha 13.12.13, otorgar una partida de $</w:t>
      </w:r>
      <w:r w:rsidR="00A76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33:000.000 a favor de la Corporación Nacional para el Desarrollo, reiterando el gasto; </w:t>
      </w:r>
    </w:p>
    <w:p w:rsidR="00DF008E" w:rsidRDefault="00DF008E" w:rsidP="002E0175">
      <w:pPr>
        <w:pStyle w:val="Sangradetextonormal"/>
        <w:ind w:firstLine="851"/>
        <w:jc w:val="both"/>
        <w:rPr>
          <w:lang w:val="es-MX"/>
        </w:rPr>
      </w:pPr>
      <w:r>
        <w:rPr>
          <w:b/>
          <w:bCs/>
        </w:rPr>
        <w:t xml:space="preserve">CONSIDERANDO: </w:t>
      </w:r>
      <w:r>
        <w:rPr>
          <w:b/>
          <w:bCs/>
          <w:lang w:val="es-MX"/>
        </w:rPr>
        <w:t xml:space="preserve">1) </w:t>
      </w:r>
      <w:r>
        <w:rPr>
          <w:lang w:val="es-MX"/>
        </w:rPr>
        <w:t>que el Artículo 475 de la Ley 17.296 de 21/2/01,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DF008E" w:rsidRDefault="00DF008E" w:rsidP="002B7022">
      <w:pPr>
        <w:spacing w:line="360" w:lineRule="auto"/>
        <w:ind w:firstLine="2977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rPr>
          <w:bCs/>
        </w:rPr>
        <w:t>la reiteración refieren a la necesidad de efectuar el gasto, no logrando conmover los fundamentos expuestos en la resolución de fecha 20 de noviembre de 2013;</w:t>
      </w:r>
    </w:p>
    <w:p w:rsidR="00DF008E" w:rsidRDefault="00DF008E" w:rsidP="002E0175">
      <w:pPr>
        <w:spacing w:line="360" w:lineRule="auto"/>
        <w:ind w:firstLine="851"/>
        <w:jc w:val="both"/>
      </w:pPr>
      <w:r>
        <w:rPr>
          <w:b/>
        </w:rPr>
        <w:t xml:space="preserve">ATENTO: </w:t>
      </w:r>
      <w:r>
        <w:t>a lo precedentemente expuesto y a lo que dispone el Artículo 211 Literal B) de la Constitución de la República;</w:t>
      </w:r>
    </w:p>
    <w:p w:rsidR="00DF008E" w:rsidRDefault="00DF008E">
      <w:pPr>
        <w:pStyle w:val="Ttulo2"/>
      </w:pPr>
      <w:r>
        <w:t>EL TRIBUNAL ACUERDA</w:t>
      </w:r>
    </w:p>
    <w:p w:rsidR="00DF008E" w:rsidRDefault="001063DB" w:rsidP="001063DB">
      <w:pPr>
        <w:pStyle w:val="Ttulo2"/>
        <w:ind w:firstLine="0"/>
        <w:jc w:val="both"/>
        <w:rPr>
          <w:b w:val="0"/>
          <w:bCs/>
        </w:rPr>
      </w:pPr>
      <w:r w:rsidRPr="001063DB">
        <w:rPr>
          <w:bCs/>
        </w:rPr>
        <w:t>1)</w:t>
      </w:r>
      <w:r>
        <w:rPr>
          <w:b w:val="0"/>
          <w:bCs/>
          <w:lang w:val="es-MX"/>
        </w:rPr>
        <w:t xml:space="preserve"> </w:t>
      </w:r>
      <w:r w:rsidR="00DF008E">
        <w:rPr>
          <w:b w:val="0"/>
          <w:bCs/>
          <w:lang w:val="es-MX"/>
        </w:rPr>
        <w:t>Mantener la observación formulada con fecha</w:t>
      </w:r>
      <w:r w:rsidR="00DF008E">
        <w:rPr>
          <w:b w:val="0"/>
          <w:bCs/>
        </w:rPr>
        <w:t xml:space="preserve"> 20 de noviembre de 2013;</w:t>
      </w:r>
    </w:p>
    <w:p w:rsidR="001063DB" w:rsidRDefault="001063DB">
      <w:pPr>
        <w:spacing w:line="360" w:lineRule="auto"/>
      </w:pPr>
      <w:r>
        <w:rPr>
          <w:b/>
          <w:lang w:val="es-MX"/>
        </w:rPr>
        <w:t xml:space="preserve">2) </w:t>
      </w:r>
      <w:r w:rsidR="00DF008E">
        <w:t>Comunicar al</w:t>
      </w:r>
      <w:r w:rsidR="000F0B0D">
        <w:t xml:space="preserve"> Poder Ejecutivo</w:t>
      </w:r>
      <w:r>
        <w:t xml:space="preserve">; </w:t>
      </w:r>
      <w:r w:rsidR="000F0B0D">
        <w:t>y</w:t>
      </w:r>
    </w:p>
    <w:p w:rsidR="00DF008E" w:rsidRPr="001063DB" w:rsidRDefault="001063DB">
      <w:pPr>
        <w:spacing w:line="360" w:lineRule="auto"/>
        <w:rPr>
          <w:b/>
        </w:rPr>
      </w:pPr>
      <w:r w:rsidRPr="001063DB">
        <w:rPr>
          <w:b/>
        </w:rPr>
        <w:t>3)</w:t>
      </w:r>
      <w:r w:rsidR="00DF008E" w:rsidRPr="001063DB">
        <w:rPr>
          <w:b/>
        </w:rPr>
        <w:t xml:space="preserve"> </w:t>
      </w:r>
      <w:r w:rsidRPr="001063DB">
        <w:t>Dar cuenta a la Asamblea General.</w:t>
      </w:r>
    </w:p>
    <w:p w:rsidR="001063DB" w:rsidRDefault="001063DB">
      <w:pPr>
        <w:spacing w:line="360" w:lineRule="auto"/>
      </w:pPr>
      <w:proofErr w:type="spellStart"/>
      <w:proofErr w:type="gramStart"/>
      <w:r>
        <w:t>cr</w:t>
      </w:r>
      <w:proofErr w:type="spellEnd"/>
      <w:proofErr w:type="gramEnd"/>
    </w:p>
    <w:sectPr w:rsidR="001063DB" w:rsidSect="001063D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453C"/>
    <w:multiLevelType w:val="hybridMultilevel"/>
    <w:tmpl w:val="14EE2F7E"/>
    <w:lvl w:ilvl="0" w:tplc="5DC22E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902721E"/>
    <w:multiLevelType w:val="hybridMultilevel"/>
    <w:tmpl w:val="7EA608E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CD7395"/>
    <w:multiLevelType w:val="hybridMultilevel"/>
    <w:tmpl w:val="7C72A886"/>
    <w:lvl w:ilvl="0" w:tplc="122EF5C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5D"/>
    <w:rsid w:val="000F0B0D"/>
    <w:rsid w:val="001063DB"/>
    <w:rsid w:val="002B7022"/>
    <w:rsid w:val="002E0175"/>
    <w:rsid w:val="00A0055D"/>
    <w:rsid w:val="00A766AD"/>
    <w:rsid w:val="00D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708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spacing w:line="360" w:lineRule="auto"/>
      <w:jc w:val="right"/>
      <w:outlineLvl w:val="2"/>
    </w:pPr>
    <w:rPr>
      <w:rFonts w:ascii="Bookman Old Style" w:hAnsi="Bookman Old Style"/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708"/>
    </w:pPr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Times New Roman" w:hAnsi="Times New Roman"/>
      <w:szCs w:val="20"/>
    </w:rPr>
  </w:style>
  <w:style w:type="paragraph" w:styleId="Sangra2detindependiente">
    <w:name w:val="Body Text Indent 2"/>
    <w:basedOn w:val="Normal"/>
    <w:semiHidden/>
    <w:pPr>
      <w:spacing w:line="360" w:lineRule="auto"/>
      <w:ind w:firstLine="141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708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widowControl w:val="0"/>
      <w:spacing w:line="360" w:lineRule="auto"/>
      <w:jc w:val="right"/>
      <w:outlineLvl w:val="2"/>
    </w:pPr>
    <w:rPr>
      <w:rFonts w:ascii="Bookman Old Style" w:hAnsi="Bookman Old Style"/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708"/>
    </w:pPr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Times New Roman" w:hAnsi="Times New Roman"/>
      <w:szCs w:val="20"/>
    </w:rPr>
  </w:style>
  <w:style w:type="paragraph" w:styleId="Sangra2detindependiente">
    <w:name w:val="Body Text Indent 2"/>
    <w:basedOn w:val="Normal"/>
    <w:semiHidden/>
    <w:pPr>
      <w:spacing w:line="360" w:lineRule="auto"/>
      <w:ind w:firstLine="14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237629</vt:lpstr>
    </vt:vector>
  </TitlesOfParts>
  <Company>Tribunal de Cuentas de la República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237629</dc:title>
  <dc:subject/>
  <dc:creator>TRIBUNAL1</dc:creator>
  <cp:keywords/>
  <dc:description/>
  <cp:lastModifiedBy> </cp:lastModifiedBy>
  <cp:revision>3</cp:revision>
  <cp:lastPrinted>2014-01-29T11:28:00Z</cp:lastPrinted>
  <dcterms:created xsi:type="dcterms:W3CDTF">2014-01-29T11:28:00Z</dcterms:created>
  <dcterms:modified xsi:type="dcterms:W3CDTF">2014-02-19T13:39:00Z</dcterms:modified>
</cp:coreProperties>
</file>