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1C" w:rsidRDefault="00B5021C">
      <w:pPr>
        <w:tabs>
          <w:tab w:val="center" w:pos="4253"/>
        </w:tabs>
        <w:suppressAutoHyphens/>
        <w:jc w:val="center"/>
        <w:rPr>
          <w:rFonts w:ascii="Helvetica" w:hAnsi="Helvetica" w:cs="Helvetica"/>
          <w:b/>
          <w:bCs/>
          <w:sz w:val="24"/>
          <w:szCs w:val="24"/>
          <w:lang w:val="es-ES_tradnl"/>
        </w:rPr>
      </w:pPr>
      <w:r>
        <w:rPr>
          <w:rFonts w:ascii="Helvetica" w:hAnsi="Helvetica" w:cs="Helvetica"/>
          <w:b/>
          <w:bCs/>
          <w:sz w:val="24"/>
          <w:szCs w:val="24"/>
          <w:lang w:val="es-ES_tradnl"/>
        </w:rPr>
        <w:t>RESOLUCION ADOPTADA POR EL</w:t>
      </w:r>
    </w:p>
    <w:p w:rsidR="00B5021C" w:rsidRDefault="00B5021C">
      <w:pPr>
        <w:tabs>
          <w:tab w:val="left" w:pos="-720"/>
        </w:tabs>
        <w:suppressAutoHyphens/>
        <w:jc w:val="center"/>
        <w:rPr>
          <w:rFonts w:ascii="Helvetica" w:hAnsi="Helvetica" w:cs="Helvetica"/>
          <w:b/>
          <w:bCs/>
          <w:sz w:val="24"/>
          <w:szCs w:val="24"/>
          <w:lang w:val="es-ES_tradnl"/>
        </w:rPr>
      </w:pPr>
    </w:p>
    <w:p w:rsidR="00B5021C" w:rsidRDefault="00B5021C">
      <w:pPr>
        <w:tabs>
          <w:tab w:val="center" w:pos="4253"/>
        </w:tabs>
        <w:suppressAutoHyphens/>
        <w:jc w:val="center"/>
        <w:rPr>
          <w:rFonts w:ascii="Helvetica" w:hAnsi="Helvetica" w:cs="Helvetica"/>
          <w:b/>
          <w:bCs/>
          <w:sz w:val="24"/>
          <w:szCs w:val="24"/>
          <w:lang w:val="es-ES_tradnl"/>
        </w:rPr>
      </w:pPr>
      <w:r>
        <w:rPr>
          <w:rFonts w:ascii="Helvetica" w:hAnsi="Helvetica" w:cs="Helvetica"/>
          <w:b/>
          <w:bCs/>
          <w:sz w:val="24"/>
          <w:szCs w:val="24"/>
          <w:lang w:val="es-ES_tradnl"/>
        </w:rPr>
        <w:t>TRIBUNAL DE CUENTAS</w:t>
      </w:r>
    </w:p>
    <w:p w:rsidR="00B5021C" w:rsidRDefault="00B5021C">
      <w:pPr>
        <w:tabs>
          <w:tab w:val="left" w:pos="-720"/>
        </w:tabs>
        <w:suppressAutoHyphens/>
        <w:jc w:val="center"/>
        <w:rPr>
          <w:rFonts w:ascii="Helvetica" w:hAnsi="Helvetica" w:cs="Helvetica"/>
          <w:b/>
          <w:bCs/>
          <w:sz w:val="24"/>
          <w:szCs w:val="24"/>
          <w:lang w:val="es-ES_tradnl"/>
        </w:rPr>
      </w:pPr>
    </w:p>
    <w:p w:rsidR="00B5021C" w:rsidRDefault="00B5021C">
      <w:pPr>
        <w:tabs>
          <w:tab w:val="center" w:pos="4253"/>
        </w:tabs>
        <w:suppressAutoHyphens/>
        <w:jc w:val="center"/>
        <w:rPr>
          <w:rFonts w:ascii="Helvetica" w:hAnsi="Helvetica" w:cs="Helvetica"/>
          <w:b/>
          <w:bCs/>
          <w:sz w:val="24"/>
          <w:szCs w:val="24"/>
          <w:lang w:val="es-ES_tradnl"/>
        </w:rPr>
      </w:pPr>
      <w:r>
        <w:rPr>
          <w:rFonts w:ascii="Helvetica" w:hAnsi="Helvetica" w:cs="Helvetica"/>
          <w:b/>
          <w:bCs/>
          <w:sz w:val="24"/>
          <w:szCs w:val="24"/>
          <w:lang w:val="es-ES_tradnl"/>
        </w:rPr>
        <w:t>EN SESION DE FECHA 5 DE DICIEMBRE DE  2012</w:t>
      </w:r>
    </w:p>
    <w:p w:rsidR="00B5021C" w:rsidRDefault="00B5021C">
      <w:pPr>
        <w:tabs>
          <w:tab w:val="center" w:pos="4253"/>
        </w:tabs>
        <w:suppressAutoHyphens/>
        <w:jc w:val="center"/>
        <w:rPr>
          <w:rFonts w:ascii="Helvetica" w:hAnsi="Helvetica" w:cs="Helvetica"/>
          <w:b/>
          <w:bCs/>
          <w:sz w:val="24"/>
          <w:szCs w:val="24"/>
          <w:lang w:val="es-ES_tradnl"/>
        </w:rPr>
      </w:pPr>
    </w:p>
    <w:p w:rsidR="00B5021C" w:rsidRDefault="00B5021C">
      <w:pPr>
        <w:tabs>
          <w:tab w:val="center" w:pos="4253"/>
        </w:tabs>
        <w:suppressAutoHyphens/>
        <w:jc w:val="center"/>
        <w:rPr>
          <w:rFonts w:ascii="Helvetica" w:hAnsi="Helvetica" w:cs="Helvetica"/>
          <w:b/>
          <w:bCs/>
          <w:sz w:val="24"/>
          <w:szCs w:val="24"/>
          <w:lang w:val="es-ES_tradnl"/>
        </w:rPr>
      </w:pPr>
      <w:r>
        <w:rPr>
          <w:rFonts w:ascii="Helvetica" w:hAnsi="Helvetica" w:cs="Helvetica"/>
          <w:b/>
          <w:bCs/>
          <w:sz w:val="24"/>
          <w:szCs w:val="24"/>
          <w:lang w:val="es-ES_tradnl"/>
        </w:rPr>
        <w:t>(E.E. 2012-17-1-0000034 , E. 6800/12)</w:t>
      </w:r>
    </w:p>
    <w:p w:rsidR="00B5021C" w:rsidRDefault="00B5021C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ES_tradnl"/>
        </w:rPr>
      </w:pPr>
    </w:p>
    <w:p w:rsidR="00B5021C" w:rsidRDefault="00B5021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“VISTO:</w:t>
      </w:r>
      <w:r>
        <w:rPr>
          <w:rFonts w:ascii="Arial" w:hAnsi="Arial" w:cs="Arial"/>
          <w:sz w:val="24"/>
          <w:szCs w:val="24"/>
        </w:rPr>
        <w:t xml:space="preserve"> estos antecedentes remitidos por la Oficina de Planeamiento y Presupuesto (OPP) relacionados con el Proyecto de Presupuesto Operativo del Banco Hipotecario del Uruguay (BHU correspondiente al Ejercicio 2013;</w:t>
      </w:r>
    </w:p>
    <w:p w:rsidR="00B5021C" w:rsidRDefault="00B5021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con fecha 29/08/2012 el Tribunal de Cuentas emitió su Dictamen Constitucional sobre el referido Proyecto no formulando observaciones;</w:t>
      </w:r>
    </w:p>
    <w:p w:rsidR="00B5021C" w:rsidRDefault="00B5021C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 fecha 13/11/2012 la OPP remite el Proyecto de Decreto del Presupuesto 2013, para el Dictamen e Informe pertinente en materia presupuestaria, según se establece en el Artículo 211 Literal A) de la Constitución de la República;</w:t>
      </w:r>
    </w:p>
    <w:p w:rsidR="00B5021C" w:rsidRDefault="00B5021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 se ha realizado el estudio comparativo entre el Proyecto de Decreto remitido por la OPP y el Proyecto de Presupuesto dictaminado por este Tribunal, no resultando observaciones que formular;</w:t>
      </w:r>
    </w:p>
    <w:p w:rsidR="00B5021C" w:rsidRDefault="00B5021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establecido por los Artículos 211 Literal A) y 221 de la Constitución de la República y a lo expuesto precedentemente;</w:t>
      </w:r>
    </w:p>
    <w:p w:rsidR="00B5021C" w:rsidRDefault="00B5021C">
      <w:pPr>
        <w:pStyle w:val="Heading4"/>
      </w:pPr>
      <w:r>
        <w:t>EL TRIBUNAL ACUERDA</w:t>
      </w:r>
    </w:p>
    <w:p w:rsidR="00B5021C" w:rsidRDefault="00B5021C">
      <w:pPr>
        <w:pStyle w:val="ListParagraph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Tomar conocimiento;</w:t>
      </w:r>
    </w:p>
    <w:p w:rsidR="00B5021C" w:rsidRDefault="00B5021C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Comunicar al Banco Hipotecario del Uruguay; y</w:t>
      </w:r>
    </w:p>
    <w:p w:rsidR="00B5021C" w:rsidRDefault="00B5021C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Devolver las actuaciones”.-</w:t>
      </w:r>
    </w:p>
    <w:p w:rsidR="00B5021C" w:rsidRDefault="00B5021C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>sd</w:t>
      </w:r>
    </w:p>
    <w:sectPr w:rsidR="00B5021C" w:rsidSect="00B5021C">
      <w:footerReference w:type="default" r:id="rId7"/>
      <w:pgSz w:w="11906" w:h="16838"/>
      <w:pgMar w:top="2835" w:right="1701" w:bottom="226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1C" w:rsidRDefault="00B502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021C" w:rsidRDefault="00B502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1C" w:rsidRDefault="00B5021C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                            </w:t>
    </w:r>
    <w:r>
      <w:rPr>
        <w:rFonts w:ascii="Arial" w:hAnsi="Arial" w:cs="Arial"/>
      </w:rPr>
      <w:tab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1C" w:rsidRDefault="00B5021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021C" w:rsidRDefault="00B502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ADE"/>
    <w:multiLevelType w:val="singleLevel"/>
    <w:tmpl w:val="DC2C333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1">
    <w:nsid w:val="09220C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3B8779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3CDC0D36"/>
    <w:multiLevelType w:val="hybridMultilevel"/>
    <w:tmpl w:val="2988AEEC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3E921E86"/>
    <w:multiLevelType w:val="singleLevel"/>
    <w:tmpl w:val="0CB61BB6"/>
    <w:lvl w:ilvl="0">
      <w:numFmt w:val="bullet"/>
      <w:lvlText w:val="­"/>
      <w:lvlJc w:val="left"/>
      <w:pPr>
        <w:tabs>
          <w:tab w:val="num" w:pos="737"/>
        </w:tabs>
        <w:ind w:left="737" w:hanging="453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5">
    <w:nsid w:val="446B7F72"/>
    <w:multiLevelType w:val="hybridMultilevel"/>
    <w:tmpl w:val="5C70A446"/>
    <w:lvl w:ilvl="0" w:tplc="3FF4D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encil" w:hAnsi="Stencil" w:cs="Stenci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74C1A"/>
    <w:multiLevelType w:val="singleLevel"/>
    <w:tmpl w:val="89260CF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7">
    <w:nsid w:val="50E11ED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>
    <w:nsid w:val="531D3AED"/>
    <w:multiLevelType w:val="singleLevel"/>
    <w:tmpl w:val="C55AB6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5BB85C1F"/>
    <w:multiLevelType w:val="singleLevel"/>
    <w:tmpl w:val="C3D09F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>
    <w:nsid w:val="5E6B67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62174C2C"/>
    <w:multiLevelType w:val="hybridMultilevel"/>
    <w:tmpl w:val="AE186F50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76155180"/>
    <w:multiLevelType w:val="hybridMultilevel"/>
    <w:tmpl w:val="DE1EE0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21C"/>
    <w:rsid w:val="00B5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rFonts w:ascii="Arial" w:hAnsi="Arial" w:cs="Arial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val="es-ES" w:eastAsia="es-ES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es-ES" w:eastAsia="es-ES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  <w:lang w:val="es-ES" w:eastAsia="es-ES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0"/>
      <w:szCs w:val="20"/>
      <w:lang w:val="es-ES" w:eastAsia="es-ES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imes New Roman" w:hAnsi="Times New Roman" w:cs="Times New Roman"/>
      <w:sz w:val="2"/>
      <w:szCs w:val="2"/>
      <w:lang w:val="es-ES" w:eastAsia="es-ES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174</Words>
  <Characters>992</Characters>
  <Application>Microsoft Office Outlook</Application>
  <DocSecurity>0</DocSecurity>
  <Lines>0</Lines>
  <Paragraphs>0</Paragraphs>
  <ScaleCrop>false</ScaleCrop>
  <Company>BROU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19 de agosto de 2005</dc:title>
  <dc:subject/>
  <dc:creator>TRIBUNAL</dc:creator>
  <cp:keywords/>
  <dc:description/>
  <cp:lastModifiedBy>Tribunal de Cuentas Web</cp:lastModifiedBy>
  <cp:revision>3</cp:revision>
  <cp:lastPrinted>2012-11-26T19:06:00Z</cp:lastPrinted>
  <dcterms:created xsi:type="dcterms:W3CDTF">2012-12-06T19:56:00Z</dcterms:created>
  <dcterms:modified xsi:type="dcterms:W3CDTF">2012-12-19T14:30:00Z</dcterms:modified>
</cp:coreProperties>
</file>