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13" w:rsidRDefault="00FB0113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B0113" w:rsidRDefault="00FB0113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0113" w:rsidRDefault="00FB0113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B0113" w:rsidRDefault="00FB0113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0113" w:rsidRDefault="00FB0113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FB0113" w:rsidRDefault="00FB0113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0113" w:rsidRDefault="00FB0113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(E. E. Nº 2014-17-1-0000243, Ent. N° 176/14.)</w:t>
      </w:r>
    </w:p>
    <w:p w:rsidR="00FB0113" w:rsidRDefault="00FB0113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FB0113" w:rsidRDefault="00FB0113">
      <w:pPr>
        <w:tabs>
          <w:tab w:val="center" w:pos="4253"/>
        </w:tabs>
        <w:suppressAutoHyphens/>
        <w:rPr>
          <w:spacing w:val="-3"/>
          <w:lang w:val="en-US"/>
        </w:rPr>
      </w:pPr>
    </w:p>
    <w:p w:rsidR="00000000" w:rsidRDefault="00FB0113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762259">
        <w:rPr>
          <w:b/>
          <w:spacing w:val="-3"/>
          <w:lang w:val="es-ES_tradnl"/>
        </w:rPr>
        <w:t>VISTO:</w:t>
      </w:r>
      <w:r w:rsidR="00762259">
        <w:rPr>
          <w:spacing w:val="-3"/>
          <w:lang w:val="es-ES_tradnl"/>
        </w:rPr>
        <w:t xml:space="preserve"> estos antecedentes remitidos por la </w:t>
      </w:r>
      <w:r w:rsidR="00762259">
        <w:t>Administración de las Obras Sanitarias del Estado (OSE)</w:t>
      </w:r>
      <w:r w:rsidR="00762259">
        <w:rPr>
          <w:spacing w:val="-3"/>
          <w:lang w:val="es-ES_tradnl"/>
        </w:rPr>
        <w:t>, relacionados con el gas</w:t>
      </w:r>
      <w:r w:rsidR="00762259">
        <w:rPr>
          <w:spacing w:val="-3"/>
          <w:lang w:val="es-ES_tradnl"/>
        </w:rPr>
        <w:t xml:space="preserve">to emergente del acuerdo transaccional </w:t>
      </w:r>
      <w:r w:rsidR="00762259">
        <w:t>extrajudicial celebrado con el funcionario Luis Ismael Couto Rivera;</w:t>
      </w:r>
    </w:p>
    <w:p w:rsidR="00000000" w:rsidRDefault="00FB0113">
      <w:pPr>
        <w:tabs>
          <w:tab w:val="left" w:pos="-720"/>
        </w:tabs>
        <w:suppressAutoHyphens/>
        <w:spacing w:line="360" w:lineRule="auto"/>
        <w:jc w:val="both"/>
      </w:pPr>
      <w:r>
        <w:rPr>
          <w:b/>
        </w:rPr>
        <w:tab/>
      </w:r>
      <w:r w:rsidR="00762259">
        <w:rPr>
          <w:b/>
        </w:rPr>
        <w:t>RESULTANDO: 1)</w:t>
      </w:r>
      <w:r w:rsidR="00762259">
        <w:t xml:space="preserve"> que por nota de fecha 2 de se</w:t>
      </w:r>
      <w:r>
        <w:t>tiembre de 2011, el funcionario</w:t>
      </w:r>
      <w:r w:rsidR="00762259">
        <w:t>, S</w:t>
      </w:r>
      <w:r>
        <w:t>eño</w:t>
      </w:r>
      <w:r w:rsidR="00762259">
        <w:t>r</w:t>
      </w:r>
      <w:r w:rsidR="00762259">
        <w:t xml:space="preserve"> Luis Ismael Couto Rivera, presentó petición ante el Directorio, a </w:t>
      </w:r>
      <w:r w:rsidR="00762259">
        <w:t>los efectos de que se le abonaran  las diferencias de sueldo entre el cargo del funcionario reclamante (categoría 16) y el cargo efectivamente desempeñado por aquel (categoría 17), durante el período comprendido entre el 18 de octubre de 2010 y el 30 de ag</w:t>
      </w:r>
      <w:r w:rsidR="00762259">
        <w:t>osto de 2011;</w:t>
      </w:r>
    </w:p>
    <w:p w:rsidR="00000000" w:rsidRDefault="00FB0113" w:rsidP="00FB0113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 </w:t>
      </w:r>
      <w:r w:rsidR="00762259" w:rsidRPr="00FB0113">
        <w:rPr>
          <w:b/>
        </w:rPr>
        <w:t>2</w:t>
      </w:r>
      <w:r w:rsidR="00762259">
        <w:rPr>
          <w:b/>
          <w:bCs/>
        </w:rPr>
        <w:t>)</w:t>
      </w:r>
      <w:r w:rsidR="00762259">
        <w:t xml:space="preserve"> que a efectos de evitar un litigio eventual ,se suscribió un acuerdo transaccional con  fecha 19 de noviembre de 2013, por el cual</w:t>
      </w:r>
      <w:r>
        <w:t>, el reclamante aceptó</w:t>
      </w:r>
      <w:r w:rsidR="00762259">
        <w:t xml:space="preserve"> la suma total final nominal de $ 125.767,26, declarando </w:t>
      </w:r>
      <w:r w:rsidR="00762259">
        <w:t>expresamente que abonada que sea la misma, nada mas tendrá que reclamar de la Administración por ningún concepto, sea de naturaleza salarial, indemnizatorio o reparatoria;</w:t>
      </w:r>
    </w:p>
    <w:p w:rsidR="00000000" w:rsidRDefault="00FB0113" w:rsidP="00FB0113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762259">
        <w:rPr>
          <w:b/>
          <w:bCs/>
        </w:rPr>
        <w:t xml:space="preserve">3) </w:t>
      </w:r>
      <w:r w:rsidR="00762259">
        <w:t>que el Directorio, por Resolución Nº 1609/13 de fech</w:t>
      </w:r>
      <w:r w:rsidR="00762259">
        <w:t>a 11 de diciembre de 2013, aprobó la transacción referida, por la suma de $ 138.580,43, que incluye  los aportes legales a cargo de la Administración;</w:t>
      </w:r>
    </w:p>
    <w:p w:rsidR="00000000" w:rsidRDefault="00FB0113" w:rsidP="00FB0113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 </w:t>
      </w:r>
      <w:r w:rsidR="00762259" w:rsidRPr="00FB0113">
        <w:rPr>
          <w:b/>
        </w:rPr>
        <w:t>4</w:t>
      </w:r>
      <w:r w:rsidR="00762259">
        <w:rPr>
          <w:b/>
          <w:bCs/>
        </w:rPr>
        <w:t>)</w:t>
      </w:r>
      <w:r w:rsidR="00762259">
        <w:t xml:space="preserve"> que  el Departamento de Contabilidad Presupuestal, con  fecha 2 de enero de 201</w:t>
      </w:r>
      <w:r w:rsidR="00762259">
        <w:t>4, informo que se imputo la suma de $ 138.581, con cargo al Prog-Act 1100, Objeto 711000, Presupuesto de Compras 2014, con disponibilidad suficiente en el Grupo 7 “Gastos no Clasificados”;</w:t>
      </w:r>
    </w:p>
    <w:p w:rsidR="00000000" w:rsidRDefault="00FB0113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/>
          <w:spacing w:val="-3"/>
          <w:lang w:val="es-ES_tradnl"/>
        </w:rPr>
        <w:lastRenderedPageBreak/>
        <w:tab/>
      </w:r>
      <w:r w:rsidR="00762259">
        <w:rPr>
          <w:b/>
          <w:spacing w:val="-3"/>
          <w:lang w:val="es-ES_tradnl"/>
        </w:rPr>
        <w:t>CONSIDERANDO: 1)</w:t>
      </w:r>
      <w:r w:rsidR="00762259">
        <w:rPr>
          <w:bCs/>
          <w:spacing w:val="-3"/>
          <w:lang w:val="es-ES_tradnl"/>
        </w:rPr>
        <w:t xml:space="preserve"> que por Resolución del Tribunal de Cuentas, de</w:t>
      </w:r>
      <w:r w:rsidR="00762259">
        <w:rPr>
          <w:b/>
          <w:spacing w:val="-3"/>
          <w:lang w:val="es-ES_tradnl"/>
        </w:rPr>
        <w:t xml:space="preserve"> </w:t>
      </w:r>
      <w:r w:rsidR="00762259">
        <w:rPr>
          <w:bCs/>
          <w:spacing w:val="-3"/>
          <w:lang w:val="es-ES_tradnl"/>
        </w:rPr>
        <w:t>fec</w:t>
      </w:r>
      <w:r w:rsidR="00762259">
        <w:rPr>
          <w:bCs/>
          <w:spacing w:val="-3"/>
          <w:lang w:val="es-ES_tradnl"/>
        </w:rPr>
        <w:t xml:space="preserve">ha 18 de junio de 2008 ,en la redacción dada por el </w:t>
      </w:r>
      <w:r>
        <w:rPr>
          <w:bCs/>
          <w:spacing w:val="-3"/>
          <w:lang w:val="es-ES_tradnl"/>
        </w:rPr>
        <w:t>A</w:t>
      </w:r>
      <w:r w:rsidR="00762259">
        <w:rPr>
          <w:bCs/>
          <w:spacing w:val="-3"/>
          <w:lang w:val="es-ES_tradnl"/>
        </w:rPr>
        <w:t>rt</w:t>
      </w:r>
      <w:r>
        <w:rPr>
          <w:bCs/>
          <w:spacing w:val="-3"/>
          <w:lang w:val="es-ES_tradnl"/>
        </w:rPr>
        <w:t xml:space="preserve">ículo </w:t>
      </w:r>
      <w:r w:rsidR="00762259">
        <w:rPr>
          <w:bCs/>
          <w:spacing w:val="-3"/>
          <w:lang w:val="es-ES_tradnl"/>
        </w:rPr>
        <w:t xml:space="preserve"> 2 de la Resolución de fecha 23 de diciembre de 2009, se dispuso que se deben remitir al mismo, para su intervención, todos los gastos emergentes de transacciones  extrajudiciales y laudos  arbitrales</w:t>
      </w:r>
      <w:r w:rsidR="00762259">
        <w:rPr>
          <w:bCs/>
          <w:spacing w:val="-3"/>
          <w:lang w:val="es-ES_tradnl"/>
        </w:rPr>
        <w:t>, cualquiera sea su monto;</w:t>
      </w:r>
    </w:p>
    <w:p w:rsidR="00000000" w:rsidRDefault="00762259" w:rsidP="00FB0113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2) </w:t>
      </w:r>
      <w:r>
        <w:t>que los aspectos que refieren a oportunidad o conveniencia de la transacción propuesta, constituyen una cuestión de mérito cuya apreciación no encuadra en el ámbito de competencia de este Tribu</w:t>
      </w:r>
      <w:r>
        <w:t>nal;</w:t>
      </w:r>
      <w:r>
        <w:rPr>
          <w:bCs/>
          <w:spacing w:val="-3"/>
          <w:lang w:val="es-ES_tradnl"/>
        </w:rPr>
        <w:t xml:space="preserve">  </w:t>
      </w:r>
    </w:p>
    <w:p w:rsidR="00000000" w:rsidRDefault="00762259" w:rsidP="00FB0113">
      <w:pPr>
        <w:tabs>
          <w:tab w:val="left" w:pos="-720"/>
        </w:tabs>
        <w:suppressAutoHyphens/>
        <w:spacing w:line="360" w:lineRule="auto"/>
        <w:ind w:firstLine="2835"/>
        <w:jc w:val="both"/>
        <w:rPr>
          <w:b/>
          <w:spacing w:val="-3"/>
          <w:lang w:val="es-ES_tradnl"/>
        </w:rPr>
      </w:pPr>
      <w:r>
        <w:rPr>
          <w:b/>
          <w:spacing w:val="-3"/>
          <w:lang w:val="es-ES_tradnl"/>
        </w:rPr>
        <w:t>3)</w:t>
      </w:r>
      <w:r>
        <w:rPr>
          <w:bCs/>
          <w:spacing w:val="-3"/>
          <w:lang w:val="es-ES_tradnl"/>
        </w:rPr>
        <w:t xml:space="preserve"> que de acuerdo con lo previsto en el </w:t>
      </w:r>
      <w:r w:rsidR="00FB0113">
        <w:rPr>
          <w:bCs/>
          <w:spacing w:val="-3"/>
          <w:lang w:val="es-ES_tradnl"/>
        </w:rPr>
        <w:t>N</w:t>
      </w:r>
      <w:r>
        <w:rPr>
          <w:bCs/>
          <w:spacing w:val="-3"/>
          <w:lang w:val="es-ES_tradnl"/>
        </w:rPr>
        <w:t>umeral 4</w:t>
      </w:r>
      <w:r w:rsidR="00FB0113">
        <w:rPr>
          <w:bCs/>
          <w:spacing w:val="-3"/>
          <w:lang w:val="es-ES_tradnl"/>
        </w:rPr>
        <w:t>)</w:t>
      </w:r>
      <w:r>
        <w:rPr>
          <w:bCs/>
          <w:spacing w:val="-3"/>
          <w:lang w:val="es-ES_tradnl"/>
        </w:rPr>
        <w:t xml:space="preserve"> de la Ordenanza Nº 72, de 23 de mayo de 1996, se intervendrán conjuntamente con el pago los gastos cuyo monto no exceda el máximo fijado para la contratación directa ampliada;</w:t>
      </w:r>
      <w:r>
        <w:rPr>
          <w:bCs/>
          <w:spacing w:val="-3"/>
          <w:lang w:val="es-ES_tradnl"/>
        </w:rPr>
        <w:t xml:space="preserve">  </w:t>
      </w:r>
    </w:p>
    <w:p w:rsidR="00000000" w:rsidRDefault="00FB0113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762259">
        <w:rPr>
          <w:b/>
          <w:spacing w:val="-3"/>
          <w:lang w:val="es-ES_tradnl"/>
        </w:rPr>
        <w:t>ATENTO:</w:t>
      </w:r>
      <w:r w:rsidR="00762259">
        <w:rPr>
          <w:spacing w:val="-3"/>
          <w:lang w:val="es-ES_tradnl"/>
        </w:rPr>
        <w:t xml:space="preserve"> a lo precedentemente expuesto, a lo dispuesto por el </w:t>
      </w:r>
      <w:r>
        <w:rPr>
          <w:spacing w:val="-3"/>
          <w:lang w:val="es-ES_tradnl"/>
        </w:rPr>
        <w:t>A</w:t>
      </w:r>
      <w:r w:rsidR="00762259">
        <w:rPr>
          <w:spacing w:val="-3"/>
          <w:lang w:val="es-ES_tradnl"/>
        </w:rPr>
        <w:t>rt</w:t>
      </w:r>
      <w:r>
        <w:rPr>
          <w:spacing w:val="-3"/>
          <w:lang w:val="es-ES_tradnl"/>
        </w:rPr>
        <w:t>ículo</w:t>
      </w:r>
      <w:r w:rsidR="00762259">
        <w:rPr>
          <w:spacing w:val="-3"/>
          <w:lang w:val="es-ES_tradnl"/>
        </w:rPr>
        <w:t xml:space="preserve"> 211 </w:t>
      </w:r>
      <w:r>
        <w:rPr>
          <w:spacing w:val="-3"/>
          <w:lang w:val="es-ES_tradnl"/>
        </w:rPr>
        <w:t>L</w:t>
      </w:r>
      <w:r w:rsidR="00762259">
        <w:rPr>
          <w:spacing w:val="-3"/>
          <w:lang w:val="es-ES_tradnl"/>
        </w:rPr>
        <w:t>it</w:t>
      </w:r>
      <w:r>
        <w:rPr>
          <w:spacing w:val="-3"/>
          <w:lang w:val="es-ES_tradnl"/>
        </w:rPr>
        <w:t xml:space="preserve">eral </w:t>
      </w:r>
      <w:r w:rsidR="00762259">
        <w:rPr>
          <w:spacing w:val="-3"/>
          <w:lang w:val="es-ES_tradnl"/>
        </w:rPr>
        <w:t xml:space="preserve"> B) de la Constitución de la República;</w:t>
      </w:r>
    </w:p>
    <w:p w:rsidR="00000000" w:rsidRDefault="00762259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000000" w:rsidRDefault="00FB0113" w:rsidP="00762259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 w:rsidRPr="00FB0113">
        <w:rPr>
          <w:b/>
          <w:spacing w:val="-3"/>
          <w:lang w:val="es-ES_tradnl"/>
        </w:rPr>
        <w:t>1)</w:t>
      </w:r>
      <w:r w:rsidR="00762259">
        <w:rPr>
          <w:spacing w:val="-3"/>
        </w:rPr>
        <w:t xml:space="preserve"> </w:t>
      </w:r>
      <w:r w:rsidR="00762259">
        <w:rPr>
          <w:spacing w:val="-3"/>
        </w:rPr>
        <w:t xml:space="preserve">Cometer </w:t>
      </w:r>
      <w:r w:rsidR="00762259">
        <w:rPr>
          <w:spacing w:val="-3"/>
          <w:lang w:val="es-ES_tradnl"/>
        </w:rPr>
        <w:t xml:space="preserve">a la Contadora Delegada </w:t>
      </w:r>
      <w:r w:rsidR="00762259">
        <w:rPr>
          <w:spacing w:val="-3"/>
        </w:rPr>
        <w:t>la intervención</w:t>
      </w:r>
      <w:r w:rsidR="00762259">
        <w:rPr>
          <w:spacing w:val="-3"/>
          <w:lang w:val="es-ES_tradnl"/>
        </w:rPr>
        <w:t xml:space="preserve"> del gasto conjuntamente con el pago, previo control de su imputación </w:t>
      </w:r>
      <w:r w:rsidR="00762259">
        <w:rPr>
          <w:spacing w:val="-3"/>
          <w:lang w:val="es-ES_tradnl"/>
        </w:rPr>
        <w:t>al grupo adecuado, con disponibilidad suficiente;</w:t>
      </w:r>
    </w:p>
    <w:p w:rsidR="00000000" w:rsidRDefault="00762259" w:rsidP="00762259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 w:rsidRPr="00762259">
        <w:rPr>
          <w:b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Comunicar a </w:t>
      </w:r>
      <w:r>
        <w:rPr>
          <w:spacing w:val="-3"/>
          <w:lang w:val="es-ES_tradnl"/>
        </w:rPr>
        <w:t>la</w:t>
      </w:r>
      <w:r>
        <w:rPr>
          <w:spacing w:val="-3"/>
          <w:lang w:val="es-ES_tradnl"/>
        </w:rPr>
        <w:t xml:space="preserve"> Contadora</w:t>
      </w:r>
      <w:r>
        <w:rPr>
          <w:spacing w:val="-3"/>
          <w:lang w:val="es-ES_tradnl"/>
        </w:rPr>
        <w:t xml:space="preserve"> Delegada</w:t>
      </w:r>
      <w:bookmarkStart w:id="0" w:name="_GoBack"/>
      <w:bookmarkEnd w:id="0"/>
      <w:r>
        <w:rPr>
          <w:spacing w:val="-3"/>
          <w:lang w:val="es-ES_tradnl"/>
        </w:rPr>
        <w:t>; y</w:t>
      </w:r>
    </w:p>
    <w:p w:rsidR="00000000" w:rsidRDefault="00762259" w:rsidP="00762259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 w:rsidRPr="00762259">
        <w:rPr>
          <w:b/>
          <w:spacing w:val="-3"/>
          <w:lang w:val="es-ES_tradnl"/>
        </w:rPr>
        <w:t>3)</w:t>
      </w:r>
      <w:r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Devolver las actuaciones.</w:t>
      </w:r>
    </w:p>
    <w:p w:rsidR="00000000" w:rsidRDefault="00762259" w:rsidP="00762259">
      <w:pPr>
        <w:pStyle w:val="Textoindependiente2"/>
        <w:jc w:val="left"/>
      </w:pPr>
      <w:r>
        <w:br/>
        <w:t>cr</w:t>
      </w:r>
    </w:p>
    <w:sectPr w:rsidR="00000000" w:rsidSect="00FB0113">
      <w:headerReference w:type="default" r:id="rId8"/>
      <w:footerReference w:type="even" r:id="rId9"/>
      <w:footerReference w:type="default" r:id="rId10"/>
      <w:pgSz w:w="11907" w:h="16840" w:code="9"/>
      <w:pgMar w:top="3402" w:right="1701" w:bottom="1418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2259">
      <w:r>
        <w:separator/>
      </w:r>
    </w:p>
  </w:endnote>
  <w:endnote w:type="continuationSeparator" w:id="0">
    <w:p w:rsidR="00000000" w:rsidRDefault="0076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22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7622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22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7622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2259">
      <w:r>
        <w:separator/>
      </w:r>
    </w:p>
  </w:footnote>
  <w:footnote w:type="continuationSeparator" w:id="0">
    <w:p w:rsidR="00000000" w:rsidRDefault="0076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2259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62259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5pt;margin-top:0;width:421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" o:allowincell="f" filled="f" stroked="f" strokeweight="0">
              <v:textbox inset="0,0,0,0">
                <w:txbxContent>
                  <w:p w:rsidR="00000000" w:rsidRDefault="00762259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000000" w:rsidRDefault="00762259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76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0A3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E854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222F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3E9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48E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F05C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548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C8E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986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0C3D03"/>
    <w:multiLevelType w:val="singleLevel"/>
    <w:tmpl w:val="AEDA80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13"/>
    <w:rsid w:val="00762259"/>
    <w:rsid w:val="00FB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spacing w:line="360" w:lineRule="auto"/>
      <w:jc w:val="both"/>
    </w:p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spacing w:line="360" w:lineRule="auto"/>
      <w:jc w:val="both"/>
    </w:p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226684</vt:lpstr>
    </vt:vector>
  </TitlesOfParts>
  <Company>Tribunal de Cuentas de la República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226684</dc:title>
  <dc:subject/>
  <dc:creator>TRIBUNAL1</dc:creator>
  <cp:keywords/>
  <dc:description/>
  <cp:lastModifiedBy>Miriam Cristina Rivero</cp:lastModifiedBy>
  <cp:revision>2</cp:revision>
  <cp:lastPrinted>2014-01-29T12:56:00Z</cp:lastPrinted>
  <dcterms:created xsi:type="dcterms:W3CDTF">2014-01-29T12:57:00Z</dcterms:created>
  <dcterms:modified xsi:type="dcterms:W3CDTF">2014-01-29T12:57:00Z</dcterms:modified>
</cp:coreProperties>
</file>