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ED6" w:rsidRDefault="00D50ED6">
      <w:pPr>
        <w:jc w:val="right"/>
        <w:rPr>
          <w:rFonts w:ascii="Arial" w:hAnsi="Arial" w:cs="Arial"/>
        </w:rPr>
      </w:pPr>
    </w:p>
    <w:p w:rsidR="00D50ED6" w:rsidRDefault="00D50ED6">
      <w:pPr>
        <w:spacing w:line="360" w:lineRule="auto"/>
        <w:jc w:val="both"/>
        <w:rPr>
          <w:rFonts w:ascii="Arial" w:hAnsi="Arial" w:cs="Arial"/>
        </w:rPr>
      </w:pPr>
    </w:p>
    <w:p w:rsidR="000D0EB1" w:rsidRDefault="000D0EB1" w:rsidP="00FA395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0D0EB1" w:rsidRDefault="000D0EB1" w:rsidP="00FA3955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0D0EB1" w:rsidRDefault="000D0EB1" w:rsidP="00FA395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0D0EB1" w:rsidRDefault="000D0EB1" w:rsidP="00FA3955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0D0EB1" w:rsidRDefault="000D0EB1" w:rsidP="00FA395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DE  22 DE ENERO DE  2014</w:t>
      </w:r>
    </w:p>
    <w:p w:rsidR="000D0EB1" w:rsidRDefault="000D0EB1" w:rsidP="00FA395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0D0EB1" w:rsidRPr="000D0EB1" w:rsidRDefault="000D0EB1" w:rsidP="00FA395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0D0EB1">
        <w:rPr>
          <w:rFonts w:ascii="Helvetica" w:hAnsi="Helvetica"/>
          <w:b/>
          <w:lang w:val="es-UY"/>
        </w:rPr>
        <w:t xml:space="preserve">(E. E. Nº 2014-17-1-0000100, </w:t>
      </w:r>
      <w:proofErr w:type="spellStart"/>
      <w:r w:rsidRPr="000D0EB1">
        <w:rPr>
          <w:rFonts w:ascii="Helvetica" w:hAnsi="Helvetica"/>
          <w:b/>
          <w:lang w:val="es-UY"/>
        </w:rPr>
        <w:t>Ent</w:t>
      </w:r>
      <w:proofErr w:type="spellEnd"/>
      <w:r w:rsidRPr="000D0EB1">
        <w:rPr>
          <w:rFonts w:ascii="Helvetica" w:hAnsi="Helvetica"/>
          <w:b/>
          <w:lang w:val="es-UY"/>
        </w:rPr>
        <w:t>. N° 39/14.)</w:t>
      </w:r>
    </w:p>
    <w:p w:rsidR="000D0EB1" w:rsidRPr="000D0EB1" w:rsidRDefault="000D0EB1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0D0EB1" w:rsidRPr="000D0EB1" w:rsidRDefault="000D0EB1">
      <w:pPr>
        <w:rPr>
          <w:lang w:val="es-UY"/>
        </w:rPr>
      </w:pPr>
    </w:p>
    <w:p w:rsidR="000D0EB1" w:rsidRDefault="00D50ED6" w:rsidP="000D0EB1">
      <w:pPr>
        <w:pStyle w:val="Textoindependiente"/>
        <w:ind w:firstLine="708"/>
        <w:rPr>
          <w:rFonts w:ascii="Arial" w:hAnsi="Arial" w:cs="Arial"/>
        </w:rPr>
      </w:pPr>
      <w:r>
        <w:rPr>
          <w:rFonts w:ascii="Arial" w:hAnsi="Arial" w:cs="Arial"/>
          <w:b/>
        </w:rPr>
        <w:t>VISTO:</w:t>
      </w:r>
      <w:r>
        <w:rPr>
          <w:rFonts w:ascii="Arial" w:hAnsi="Arial" w:cs="Arial"/>
        </w:rPr>
        <w:t xml:space="preserve"> las actuaciones remitidas por la Administración de los Servicios </w:t>
      </w:r>
      <w:r w:rsidRPr="000D0EB1">
        <w:rPr>
          <w:rFonts w:ascii="Arial" w:hAnsi="Arial" w:cs="Arial"/>
          <w:spacing w:val="8"/>
        </w:rPr>
        <w:t>de Salud del Estado (A.S.S.E.), referentes a la transferencia de la suma de $</w:t>
      </w:r>
      <w:r w:rsidR="000D0E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34:116.348 a la Comisión de Obras de la Red de Atención Primaria d</w:t>
      </w:r>
      <w:r w:rsidR="000D0EB1">
        <w:rPr>
          <w:rFonts w:ascii="Arial" w:hAnsi="Arial" w:cs="Arial"/>
        </w:rPr>
        <w:t>el Área Metropolitana (R.A.P.);</w:t>
      </w:r>
    </w:p>
    <w:p w:rsidR="000D0EB1" w:rsidRDefault="00D50ED6" w:rsidP="000D0EB1">
      <w:pPr>
        <w:pStyle w:val="Textoindependiente"/>
        <w:ind w:firstLine="709"/>
        <w:rPr>
          <w:rFonts w:ascii="Arial" w:hAnsi="Arial" w:cs="Arial"/>
        </w:rPr>
      </w:pPr>
      <w:r>
        <w:rPr>
          <w:rFonts w:ascii="Arial" w:hAnsi="Arial" w:cs="Arial"/>
          <w:b/>
        </w:rPr>
        <w:t>RESULTANDO: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1)</w:t>
      </w:r>
      <w:r>
        <w:rPr>
          <w:rFonts w:ascii="Arial" w:hAnsi="Arial" w:cs="Arial"/>
        </w:rPr>
        <w:t xml:space="preserve"> que por Resolución Nº 4760 de fecha 23 de diciembre de 2013, el Directorio de A.S.S.E autorizó el traspaso a la Comisión de Obras de la R.A.P. de la suma de $</w:t>
      </w:r>
      <w:r w:rsidR="000D0E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34:116.348, con objeto  de financiar las obras de ampliación de la Emergencia en el Centro de Salud Cerro dependiente de la Red de Atención Primaria del Área Metrop</w:t>
      </w:r>
      <w:r w:rsidR="000D0EB1">
        <w:rPr>
          <w:rFonts w:ascii="Arial" w:hAnsi="Arial" w:cs="Arial"/>
        </w:rPr>
        <w:t>olitana (R.A.P.);</w:t>
      </w:r>
    </w:p>
    <w:p w:rsidR="00D50ED6" w:rsidRDefault="00D50ED6" w:rsidP="000D0EB1">
      <w:pPr>
        <w:pStyle w:val="Textoindependiente"/>
        <w:ind w:firstLine="269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2)</w:t>
      </w:r>
      <w:r>
        <w:rPr>
          <w:rFonts w:ascii="Arial" w:hAnsi="Arial" w:cs="Arial"/>
        </w:rPr>
        <w:t xml:space="preserve"> que según surge de la referida Resolución, se cuenta con fondos necesarios para dichas obras en el Plan de Inversiones Públicas de A.S.S.E. en el Proyecto 973- “Inmuebles”, con cargo a los cuales se atenderá la referida erogación;                         </w:t>
      </w:r>
    </w:p>
    <w:p w:rsidR="00D50ED6" w:rsidRDefault="00D50ED6" w:rsidP="000D0EB1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3)</w:t>
      </w:r>
      <w:r>
        <w:rPr>
          <w:rFonts w:ascii="Arial" w:hAnsi="Arial" w:cs="Arial"/>
        </w:rPr>
        <w:t xml:space="preserve"> que por Resolución del Poder Ejecutivo de fecha 16 de enero de 1996 se designó la Comisión Honoraria para la Administración y Ejecución de la R.A.P. Metropolitana;</w:t>
      </w:r>
    </w:p>
    <w:p w:rsidR="00D50ED6" w:rsidRDefault="00D50ED6" w:rsidP="000D0EB1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4)</w:t>
      </w:r>
      <w:r>
        <w:rPr>
          <w:rFonts w:ascii="Arial" w:hAnsi="Arial" w:cs="Arial"/>
        </w:rPr>
        <w:t xml:space="preserve"> que la Resolución remitida en esta oportunidad, dispone que la referida Comisión de Obras de la R.A.P. deberá rendir cuenta del manejo de dichos fondos de acuerdo </w:t>
      </w:r>
      <w:r w:rsidR="000D0EB1">
        <w:rPr>
          <w:rFonts w:ascii="Arial" w:hAnsi="Arial" w:cs="Arial"/>
        </w:rPr>
        <w:t>con</w:t>
      </w:r>
      <w:r>
        <w:rPr>
          <w:rFonts w:ascii="Arial" w:hAnsi="Arial" w:cs="Arial"/>
        </w:rPr>
        <w:t xml:space="preserve"> lo establecido en el artículo 589 de la </w:t>
      </w:r>
      <w:r w:rsidR="000D0EB1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ey 15.903 de 10 de noviembre  de 1987;                                        </w:t>
      </w:r>
    </w:p>
    <w:p w:rsidR="00D50ED6" w:rsidRDefault="00D50ED6" w:rsidP="000D0EB1">
      <w:pPr>
        <w:pStyle w:val="Textoindependiente"/>
        <w:ind w:firstLine="2694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5)</w:t>
      </w:r>
      <w:r>
        <w:rPr>
          <w:rFonts w:ascii="Arial" w:hAnsi="Arial" w:cs="Arial"/>
        </w:rPr>
        <w:t xml:space="preserve"> que asimismo se adjunta el Documento de Afectación Nº 1536 de fecha 23.12.13</w:t>
      </w:r>
      <w:r>
        <w:t xml:space="preserve"> </w:t>
      </w:r>
      <w:r>
        <w:rPr>
          <w:rFonts w:ascii="Arial" w:hAnsi="Arial" w:cs="Arial"/>
        </w:rPr>
        <w:t>por la suma de $</w:t>
      </w:r>
      <w:r w:rsidR="000D0E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34.116.348, con cargo al Programa 440, Proyecto 973, Objeto de Gasto 563, Resumen de la Operación: “Adelanto Comisión de Obras RAP. Obra en Emergencia del C.S. Cerro”;                       </w:t>
      </w:r>
    </w:p>
    <w:p w:rsidR="00D50ED6" w:rsidRDefault="00D50ED6">
      <w:pPr>
        <w:pStyle w:val="Textoindependiente"/>
        <w:ind w:firstLine="708"/>
        <w:rPr>
          <w:rFonts w:ascii="Arial" w:hAnsi="Arial" w:cs="Arial"/>
        </w:rPr>
      </w:pPr>
      <w:r>
        <w:rPr>
          <w:rFonts w:ascii="Arial" w:hAnsi="Arial" w:cs="Arial"/>
          <w:b/>
        </w:rPr>
        <w:t>CONSIDERANDO:</w:t>
      </w:r>
      <w:r>
        <w:rPr>
          <w:b/>
        </w:rPr>
        <w:t xml:space="preserve"> </w:t>
      </w:r>
      <w:r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que la transferencia remitida está prevista en el marco de lo dispuesto por el </w:t>
      </w:r>
      <w:r w:rsidR="001D4503">
        <w:rPr>
          <w:rFonts w:ascii="Arial" w:hAnsi="Arial" w:cs="Arial"/>
        </w:rPr>
        <w:t>A</w:t>
      </w:r>
      <w:r>
        <w:rPr>
          <w:rFonts w:ascii="Arial" w:hAnsi="Arial" w:cs="Arial"/>
        </w:rPr>
        <w:t>rt</w:t>
      </w:r>
      <w:r w:rsidR="001D4503">
        <w:rPr>
          <w:rFonts w:ascii="Arial" w:hAnsi="Arial" w:cs="Arial"/>
        </w:rPr>
        <w:t>ículo</w:t>
      </w:r>
      <w:r>
        <w:rPr>
          <w:rFonts w:ascii="Arial" w:hAnsi="Arial" w:cs="Arial"/>
        </w:rPr>
        <w:t xml:space="preserve"> 436 de la </w:t>
      </w:r>
      <w:r w:rsidR="001D4503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ey 16.170 de 28 de diciembre de 1990; </w:t>
      </w:r>
    </w:p>
    <w:p w:rsidR="00D50ED6" w:rsidRDefault="001D4503" w:rsidP="001D4503">
      <w:pPr>
        <w:pStyle w:val="Textoindependiente"/>
        <w:ind w:firstLine="2835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D50ED6">
        <w:rPr>
          <w:rFonts w:ascii="Arial" w:hAnsi="Arial" w:cs="Arial"/>
          <w:b/>
        </w:rPr>
        <w:t xml:space="preserve">2) </w:t>
      </w:r>
      <w:r w:rsidR="00D50ED6">
        <w:rPr>
          <w:rFonts w:ascii="Arial" w:hAnsi="Arial" w:cs="Arial"/>
        </w:rPr>
        <w:t xml:space="preserve">que el </w:t>
      </w:r>
      <w:r>
        <w:rPr>
          <w:rFonts w:ascii="Arial" w:hAnsi="Arial" w:cs="Arial"/>
        </w:rPr>
        <w:t>A</w:t>
      </w:r>
      <w:r w:rsidR="00D50ED6">
        <w:rPr>
          <w:rFonts w:ascii="Arial" w:hAnsi="Arial" w:cs="Arial"/>
        </w:rPr>
        <w:t xml:space="preserve">rtículo 589 de la </w:t>
      </w:r>
      <w:r>
        <w:rPr>
          <w:rFonts w:ascii="Arial" w:hAnsi="Arial" w:cs="Arial"/>
        </w:rPr>
        <w:t>L</w:t>
      </w:r>
      <w:r w:rsidR="00D50ED6">
        <w:rPr>
          <w:rFonts w:ascii="Arial" w:hAnsi="Arial" w:cs="Arial"/>
        </w:rPr>
        <w:t>ey 15.903 de 10/11/1987 dispuso que las personas o entidades no estatales que perciban fondos públicos o administren bienes del Estado deberán rendir cuenta ante este Tribunal;</w:t>
      </w:r>
    </w:p>
    <w:p w:rsidR="00D50ED6" w:rsidRDefault="001D4503" w:rsidP="001D4503">
      <w:pPr>
        <w:pStyle w:val="Textoindependiente"/>
        <w:ind w:firstLine="2835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D50ED6">
        <w:rPr>
          <w:rFonts w:ascii="Arial" w:hAnsi="Arial" w:cs="Arial"/>
          <w:b/>
        </w:rPr>
        <w:t xml:space="preserve">3) </w:t>
      </w:r>
      <w:r w:rsidR="00D50ED6">
        <w:rPr>
          <w:rFonts w:ascii="Arial" w:hAnsi="Arial" w:cs="Arial"/>
        </w:rPr>
        <w:t xml:space="preserve">que el </w:t>
      </w:r>
      <w:r>
        <w:rPr>
          <w:rFonts w:ascii="Arial" w:hAnsi="Arial" w:cs="Arial"/>
        </w:rPr>
        <w:t>L</w:t>
      </w:r>
      <w:r w:rsidR="00D50ED6">
        <w:rPr>
          <w:rFonts w:ascii="Arial" w:hAnsi="Arial" w:cs="Arial"/>
        </w:rPr>
        <w:t xml:space="preserve">iteral D) de la referida norma (agregado por el </w:t>
      </w:r>
      <w:r>
        <w:rPr>
          <w:rFonts w:ascii="Arial" w:hAnsi="Arial" w:cs="Arial"/>
        </w:rPr>
        <w:t>A</w:t>
      </w:r>
      <w:r w:rsidR="00D50ED6">
        <w:rPr>
          <w:rFonts w:ascii="Arial" w:hAnsi="Arial" w:cs="Arial"/>
        </w:rPr>
        <w:t xml:space="preserve">rtículo 482 de la </w:t>
      </w:r>
      <w:r>
        <w:rPr>
          <w:rFonts w:ascii="Arial" w:hAnsi="Arial" w:cs="Arial"/>
        </w:rPr>
        <w:t>L</w:t>
      </w:r>
      <w:r w:rsidR="00D50ED6">
        <w:rPr>
          <w:rFonts w:ascii="Arial" w:hAnsi="Arial" w:cs="Arial"/>
        </w:rPr>
        <w:t>ey 17.296 de 21/02/01) dispuso que los distintos documentos y estados contables</w:t>
      </w:r>
      <w:r>
        <w:rPr>
          <w:rFonts w:ascii="Arial" w:hAnsi="Arial" w:cs="Arial"/>
        </w:rPr>
        <w:t xml:space="preserve"> se</w:t>
      </w:r>
      <w:r w:rsidR="00D50ED6">
        <w:rPr>
          <w:rFonts w:ascii="Arial" w:hAnsi="Arial" w:cs="Arial"/>
        </w:rPr>
        <w:t xml:space="preserve"> deberán formular y presentar</w:t>
      </w:r>
      <w:r>
        <w:rPr>
          <w:rFonts w:ascii="Arial" w:hAnsi="Arial" w:cs="Arial"/>
        </w:rPr>
        <w:t xml:space="preserve"> </w:t>
      </w:r>
      <w:r w:rsidR="00D50ED6">
        <w:rPr>
          <w:rFonts w:ascii="Arial" w:hAnsi="Arial" w:cs="Arial"/>
        </w:rPr>
        <w:t xml:space="preserve"> en la forma que lo determine este Tribunal;  </w:t>
      </w:r>
    </w:p>
    <w:p w:rsidR="00D50ED6" w:rsidRDefault="001D4503" w:rsidP="001D4503">
      <w:pPr>
        <w:pStyle w:val="Textoindependiente"/>
        <w:ind w:firstLine="2835"/>
        <w:rPr>
          <w:rFonts w:ascii="Arial" w:hAnsi="Arial" w:cs="Arial"/>
          <w:szCs w:val="18"/>
        </w:rPr>
      </w:pPr>
      <w:r>
        <w:rPr>
          <w:rFonts w:ascii="Arial" w:hAnsi="Arial" w:cs="Arial"/>
          <w:b/>
          <w:szCs w:val="18"/>
        </w:rPr>
        <w:t xml:space="preserve"> </w:t>
      </w:r>
      <w:r w:rsidR="00D50ED6">
        <w:rPr>
          <w:rFonts w:ascii="Arial" w:hAnsi="Arial" w:cs="Arial"/>
          <w:b/>
          <w:szCs w:val="18"/>
        </w:rPr>
        <w:t>4)</w:t>
      </w:r>
      <w:r w:rsidR="00D50ED6">
        <w:rPr>
          <w:rFonts w:ascii="Arial" w:hAnsi="Arial" w:cs="Arial"/>
          <w:szCs w:val="18"/>
        </w:rPr>
        <w:t xml:space="preserve"> que por Resolución de fecha 22 de mayo de 2013,</w:t>
      </w:r>
      <w:r w:rsidR="00D50ED6">
        <w:t xml:space="preserve"> </w:t>
      </w:r>
      <w:r w:rsidR="00D50ED6">
        <w:rPr>
          <w:rFonts w:ascii="Arial" w:hAnsi="Arial" w:cs="Arial"/>
          <w:szCs w:val="18"/>
        </w:rPr>
        <w:t>este Tribunal acordó visar los Estados Contables formulados por la Comisión Honoraria de Administración y Ejecución de Obras de la Red de Atención Primaria del Área Metropolitana (R.A.P.) correspondientes al ejercicio finalizado al 31 de diciembre de 2012, con el alcance dado por la misma;</w:t>
      </w:r>
    </w:p>
    <w:p w:rsidR="00D50ED6" w:rsidRDefault="001D4503" w:rsidP="001D4503">
      <w:pPr>
        <w:pStyle w:val="Textoindependiente"/>
        <w:ind w:firstLine="2835"/>
        <w:rPr>
          <w:rFonts w:ascii="Arial" w:hAnsi="Arial" w:cs="Arial"/>
          <w:szCs w:val="18"/>
        </w:rPr>
      </w:pPr>
      <w:r>
        <w:rPr>
          <w:rFonts w:ascii="Arial" w:hAnsi="Arial" w:cs="Arial"/>
          <w:b/>
          <w:szCs w:val="18"/>
        </w:rPr>
        <w:t xml:space="preserve"> </w:t>
      </w:r>
      <w:r w:rsidR="00D50ED6">
        <w:rPr>
          <w:rFonts w:ascii="Arial" w:hAnsi="Arial" w:cs="Arial"/>
          <w:b/>
          <w:szCs w:val="18"/>
        </w:rPr>
        <w:t xml:space="preserve">5) </w:t>
      </w:r>
      <w:r w:rsidR="00D50ED6">
        <w:rPr>
          <w:rFonts w:ascii="Arial" w:hAnsi="Arial" w:cs="Arial"/>
          <w:szCs w:val="18"/>
        </w:rPr>
        <w:t xml:space="preserve">que la referida Resolución dispuso se tenga presente lo dispuesto por los </w:t>
      </w:r>
      <w:r>
        <w:rPr>
          <w:rFonts w:ascii="Arial" w:hAnsi="Arial" w:cs="Arial"/>
          <w:szCs w:val="18"/>
        </w:rPr>
        <w:t>A</w:t>
      </w:r>
      <w:r w:rsidR="00D50ED6">
        <w:rPr>
          <w:rFonts w:ascii="Arial" w:hAnsi="Arial" w:cs="Arial"/>
          <w:szCs w:val="18"/>
        </w:rPr>
        <w:t xml:space="preserve">rtículos 177 y 159 </w:t>
      </w:r>
      <w:r>
        <w:rPr>
          <w:rFonts w:ascii="Arial" w:hAnsi="Arial" w:cs="Arial"/>
          <w:szCs w:val="18"/>
        </w:rPr>
        <w:t>L</w:t>
      </w:r>
      <w:r w:rsidR="00D50ED6">
        <w:rPr>
          <w:rFonts w:ascii="Arial" w:hAnsi="Arial" w:cs="Arial"/>
          <w:szCs w:val="18"/>
        </w:rPr>
        <w:t xml:space="preserve">iteral C) del TOCAF; </w:t>
      </w:r>
    </w:p>
    <w:p w:rsidR="00D50ED6" w:rsidRDefault="001D4503" w:rsidP="001D4503">
      <w:pPr>
        <w:pStyle w:val="Textoindependiente"/>
        <w:ind w:firstLine="2835"/>
        <w:rPr>
          <w:rFonts w:ascii="Arial" w:hAnsi="Arial" w:cs="Arial"/>
          <w:szCs w:val="18"/>
        </w:rPr>
      </w:pPr>
      <w:r>
        <w:rPr>
          <w:rFonts w:ascii="Arial" w:hAnsi="Arial" w:cs="Arial"/>
          <w:b/>
          <w:szCs w:val="18"/>
        </w:rPr>
        <w:t xml:space="preserve"> </w:t>
      </w:r>
      <w:r w:rsidR="00D50ED6">
        <w:rPr>
          <w:rFonts w:ascii="Arial" w:hAnsi="Arial" w:cs="Arial"/>
          <w:b/>
          <w:szCs w:val="18"/>
        </w:rPr>
        <w:t>6)</w:t>
      </w:r>
      <w:r w:rsidR="00D50ED6">
        <w:rPr>
          <w:rFonts w:ascii="Arial" w:hAnsi="Arial" w:cs="Arial"/>
          <w:szCs w:val="18"/>
        </w:rPr>
        <w:t xml:space="preserve"> que la transferencia se ha efectuado con fecha anterior a la remisión de las actuaciones a este Tribunal contando con principio de ejecución, en contravención de lo dispuesto por el </w:t>
      </w:r>
      <w:r>
        <w:rPr>
          <w:rFonts w:ascii="Arial" w:hAnsi="Arial" w:cs="Arial"/>
          <w:szCs w:val="18"/>
        </w:rPr>
        <w:t>A</w:t>
      </w:r>
      <w:r w:rsidR="00D50ED6">
        <w:rPr>
          <w:rFonts w:ascii="Arial" w:hAnsi="Arial" w:cs="Arial"/>
          <w:szCs w:val="18"/>
        </w:rPr>
        <w:t xml:space="preserve">rtículo 211 </w:t>
      </w:r>
      <w:r>
        <w:rPr>
          <w:rFonts w:ascii="Arial" w:hAnsi="Arial" w:cs="Arial"/>
          <w:szCs w:val="18"/>
        </w:rPr>
        <w:t>L</w:t>
      </w:r>
      <w:r w:rsidR="00D50ED6">
        <w:rPr>
          <w:rFonts w:ascii="Arial" w:hAnsi="Arial" w:cs="Arial"/>
          <w:szCs w:val="18"/>
        </w:rPr>
        <w:t xml:space="preserve">iteral B) de la Constitución de la República </w:t>
      </w:r>
    </w:p>
    <w:p w:rsidR="00D50ED6" w:rsidRDefault="00D50ED6">
      <w:pPr>
        <w:pStyle w:val="Textoindependiente"/>
        <w:ind w:firstLine="708"/>
        <w:rPr>
          <w:rFonts w:ascii="Arial" w:hAnsi="Arial" w:cs="Arial"/>
        </w:rPr>
      </w:pPr>
      <w:r>
        <w:rPr>
          <w:rFonts w:ascii="Arial" w:hAnsi="Arial" w:cs="Arial"/>
          <w:b/>
        </w:rPr>
        <w:t>ATENTO</w:t>
      </w:r>
      <w:r>
        <w:rPr>
          <w:rFonts w:ascii="Arial" w:hAnsi="Arial" w:cs="Arial"/>
        </w:rPr>
        <w:t xml:space="preserve">: a lo precedentemente expuesto y a lo dispuesto por el </w:t>
      </w:r>
      <w:r w:rsidR="001D4503">
        <w:rPr>
          <w:rFonts w:ascii="Arial" w:hAnsi="Arial" w:cs="Arial"/>
        </w:rPr>
        <w:t>A</w:t>
      </w:r>
      <w:r>
        <w:rPr>
          <w:rFonts w:ascii="Arial" w:hAnsi="Arial" w:cs="Arial"/>
        </w:rPr>
        <w:t>rt</w:t>
      </w:r>
      <w:r w:rsidR="001D4503">
        <w:rPr>
          <w:rFonts w:ascii="Arial" w:hAnsi="Arial" w:cs="Arial"/>
        </w:rPr>
        <w:t>ículo</w:t>
      </w:r>
      <w:r>
        <w:rPr>
          <w:rFonts w:ascii="Arial" w:hAnsi="Arial" w:cs="Arial"/>
        </w:rPr>
        <w:t xml:space="preserve"> 211 Lit</w:t>
      </w:r>
      <w:r w:rsidR="00E125FA">
        <w:rPr>
          <w:rFonts w:ascii="Arial" w:hAnsi="Arial" w:cs="Arial"/>
        </w:rPr>
        <w:t>eral</w:t>
      </w:r>
      <w:r>
        <w:rPr>
          <w:rFonts w:ascii="Arial" w:hAnsi="Arial" w:cs="Arial"/>
        </w:rPr>
        <w:t xml:space="preserve"> B) de la Constitución de la República;</w:t>
      </w:r>
    </w:p>
    <w:p w:rsidR="00D50ED6" w:rsidRDefault="00D50ED6">
      <w:pPr>
        <w:pStyle w:val="Textoindependiente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EL TRIBUNAL ACUERDA</w:t>
      </w:r>
    </w:p>
    <w:p w:rsidR="00D50ED6" w:rsidRDefault="00E125FA" w:rsidP="00E125FA">
      <w:pPr>
        <w:spacing w:line="360" w:lineRule="auto"/>
        <w:ind w:left="284" w:hanging="284"/>
        <w:rPr>
          <w:rFonts w:ascii="Arial" w:hAnsi="Arial" w:cs="Arial"/>
        </w:rPr>
      </w:pPr>
      <w:r w:rsidRPr="00E125FA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</w:t>
      </w:r>
      <w:r w:rsidR="00D50ED6">
        <w:rPr>
          <w:rFonts w:ascii="Arial" w:hAnsi="Arial" w:cs="Arial"/>
        </w:rPr>
        <w:t>Observar la transferencia de fondos realizada por A.S.S.E. a la Comisión de Obras de la Red de Atención Primaria del Área Metropolitana (R.A.P.);</w:t>
      </w:r>
    </w:p>
    <w:p w:rsidR="00D50ED6" w:rsidRDefault="00E125FA" w:rsidP="00E125FA">
      <w:pPr>
        <w:spacing w:line="360" w:lineRule="auto"/>
        <w:rPr>
          <w:rFonts w:ascii="Arial" w:hAnsi="Arial" w:cs="Arial"/>
        </w:rPr>
      </w:pPr>
      <w:r w:rsidRPr="00E125FA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</w:t>
      </w:r>
      <w:r w:rsidR="00D50ED6">
        <w:rPr>
          <w:rFonts w:ascii="Arial" w:hAnsi="Arial" w:cs="Arial"/>
        </w:rPr>
        <w:t xml:space="preserve">Téngase presente lo </w:t>
      </w:r>
      <w:r>
        <w:rPr>
          <w:rFonts w:ascii="Arial" w:hAnsi="Arial" w:cs="Arial"/>
        </w:rPr>
        <w:t>expuesto en</w:t>
      </w:r>
      <w:r w:rsidR="00D50ED6">
        <w:rPr>
          <w:rFonts w:ascii="Arial" w:hAnsi="Arial" w:cs="Arial"/>
        </w:rPr>
        <w:t xml:space="preserve"> los Considerando</w:t>
      </w:r>
      <w:r>
        <w:rPr>
          <w:rFonts w:ascii="Arial" w:hAnsi="Arial" w:cs="Arial"/>
        </w:rPr>
        <w:t xml:space="preserve">s </w:t>
      </w:r>
      <w:r w:rsidR="00D50ED6">
        <w:rPr>
          <w:rFonts w:ascii="Arial" w:hAnsi="Arial" w:cs="Arial"/>
        </w:rPr>
        <w:t xml:space="preserve"> 4) y 5)</w:t>
      </w:r>
      <w:r>
        <w:rPr>
          <w:rFonts w:ascii="Arial" w:hAnsi="Arial" w:cs="Arial"/>
        </w:rPr>
        <w:t xml:space="preserve"> precedentes</w:t>
      </w:r>
      <w:r w:rsidR="00D50ED6">
        <w:rPr>
          <w:rFonts w:ascii="Arial" w:hAnsi="Arial" w:cs="Arial"/>
        </w:rPr>
        <w:t>;</w:t>
      </w:r>
    </w:p>
    <w:p w:rsidR="00D50ED6" w:rsidRDefault="00E125FA" w:rsidP="00E125FA">
      <w:pPr>
        <w:spacing w:line="360" w:lineRule="auto"/>
        <w:rPr>
          <w:rFonts w:ascii="Arial" w:hAnsi="Arial" w:cs="Arial"/>
        </w:rPr>
      </w:pPr>
      <w:r w:rsidRPr="00E125FA">
        <w:rPr>
          <w:rFonts w:ascii="Arial" w:hAnsi="Arial" w:cs="Arial"/>
          <w:b/>
        </w:rPr>
        <w:t>3)</w:t>
      </w:r>
      <w:r>
        <w:rPr>
          <w:rFonts w:ascii="Arial" w:hAnsi="Arial" w:cs="Arial"/>
          <w:b/>
        </w:rPr>
        <w:t xml:space="preserve"> </w:t>
      </w:r>
      <w:r w:rsidR="00D50ED6">
        <w:rPr>
          <w:rFonts w:ascii="Arial" w:hAnsi="Arial" w:cs="Arial"/>
        </w:rPr>
        <w:t>Comunicar a</w:t>
      </w:r>
      <w:r>
        <w:rPr>
          <w:rFonts w:ascii="Arial" w:hAnsi="Arial" w:cs="Arial"/>
        </w:rPr>
        <w:t xml:space="preserve"> </w:t>
      </w:r>
      <w:r w:rsidR="00D50ED6">
        <w:rPr>
          <w:rFonts w:ascii="Arial" w:hAnsi="Arial" w:cs="Arial"/>
        </w:rPr>
        <w:t>l</w:t>
      </w:r>
      <w:r>
        <w:rPr>
          <w:rFonts w:ascii="Arial" w:hAnsi="Arial" w:cs="Arial"/>
        </w:rPr>
        <w:t>a</w:t>
      </w:r>
      <w:r w:rsidR="00D50ED6">
        <w:rPr>
          <w:rFonts w:ascii="Arial" w:hAnsi="Arial" w:cs="Arial"/>
        </w:rPr>
        <w:t xml:space="preserve"> Contador</w:t>
      </w:r>
      <w:r>
        <w:rPr>
          <w:rFonts w:ascii="Arial" w:hAnsi="Arial" w:cs="Arial"/>
        </w:rPr>
        <w:t>a</w:t>
      </w:r>
      <w:r w:rsidR="00D50E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Delegada </w:t>
      </w:r>
      <w:r w:rsidR="00D50ED6">
        <w:rPr>
          <w:rFonts w:ascii="Arial" w:hAnsi="Arial" w:cs="Arial"/>
        </w:rPr>
        <w:t xml:space="preserve"> en A.S.S.E.; y</w:t>
      </w:r>
    </w:p>
    <w:p w:rsidR="00D50ED6" w:rsidRDefault="00E125FA" w:rsidP="00E125FA">
      <w:pPr>
        <w:spacing w:line="360" w:lineRule="auto"/>
        <w:rPr>
          <w:rFonts w:ascii="Arial" w:hAnsi="Arial" w:cs="Arial"/>
        </w:rPr>
      </w:pPr>
      <w:r w:rsidRPr="00E125FA">
        <w:rPr>
          <w:rFonts w:ascii="Arial" w:hAnsi="Arial" w:cs="Arial"/>
          <w:b/>
        </w:rPr>
        <w:t>4)</w:t>
      </w:r>
      <w:r>
        <w:rPr>
          <w:rFonts w:ascii="Arial" w:hAnsi="Arial" w:cs="Arial"/>
        </w:rPr>
        <w:t xml:space="preserve"> Devolver las actuaciones.</w:t>
      </w:r>
    </w:p>
    <w:p w:rsidR="00D50ED6" w:rsidRDefault="00D50ED6">
      <w:pPr>
        <w:pStyle w:val="Textoindependiente"/>
        <w:rPr>
          <w:rFonts w:ascii="Arial" w:hAnsi="Arial" w:cs="Arial"/>
        </w:rPr>
      </w:pPr>
      <w:bookmarkStart w:id="0" w:name="_GoBack"/>
      <w:bookmarkEnd w:id="0"/>
    </w:p>
    <w:p w:rsidR="00E125FA" w:rsidRDefault="00E125FA">
      <w:pPr>
        <w:pStyle w:val="Textoindependiente"/>
        <w:rPr>
          <w:rFonts w:ascii="Arial" w:hAnsi="Arial" w:cs="Arial"/>
        </w:rPr>
      </w:pPr>
    </w:p>
    <w:p w:rsidR="00E125FA" w:rsidRDefault="00E125FA">
      <w:pPr>
        <w:pStyle w:val="Textoindependiente"/>
        <w:rPr>
          <w:rFonts w:ascii="Arial" w:hAnsi="Arial" w:cs="Arial"/>
        </w:rPr>
      </w:pPr>
    </w:p>
    <w:p w:rsidR="00E125FA" w:rsidRDefault="00E125FA">
      <w:pPr>
        <w:pStyle w:val="Textoindependiente"/>
        <w:rPr>
          <w:rFonts w:ascii="Arial" w:hAnsi="Arial" w:cs="Arial"/>
        </w:rPr>
      </w:pPr>
    </w:p>
    <w:p w:rsidR="00E125FA" w:rsidRDefault="00E125FA">
      <w:pPr>
        <w:pStyle w:val="Textoindependiente"/>
        <w:rPr>
          <w:rFonts w:ascii="Arial" w:hAnsi="Arial" w:cs="Arial"/>
        </w:rPr>
      </w:pPr>
    </w:p>
    <w:p w:rsidR="00E125FA" w:rsidRDefault="00E125FA">
      <w:pPr>
        <w:pStyle w:val="Textoindependiente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cr</w:t>
      </w:r>
      <w:proofErr w:type="spellEnd"/>
      <w:proofErr w:type="gramEnd"/>
    </w:p>
    <w:sectPr w:rsidR="00E125FA" w:rsidSect="000D0EB1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537D2"/>
    <w:multiLevelType w:val="hybridMultilevel"/>
    <w:tmpl w:val="9684BD0E"/>
    <w:lvl w:ilvl="0" w:tplc="C0F62512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>
    <w:nsid w:val="142D46FF"/>
    <w:multiLevelType w:val="hybridMultilevel"/>
    <w:tmpl w:val="0450E402"/>
    <w:lvl w:ilvl="0" w:tplc="0C0A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E172A"/>
    <w:multiLevelType w:val="hybridMultilevel"/>
    <w:tmpl w:val="39DAF27C"/>
    <w:lvl w:ilvl="0" w:tplc="E004AA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B77ADD"/>
    <w:multiLevelType w:val="hybridMultilevel"/>
    <w:tmpl w:val="CEC04F2E"/>
    <w:lvl w:ilvl="0" w:tplc="8D3EFF5A">
      <w:start w:val="2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35D0212A"/>
    <w:multiLevelType w:val="hybridMultilevel"/>
    <w:tmpl w:val="EF66CE8E"/>
    <w:lvl w:ilvl="0" w:tplc="0C0A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8B4C35"/>
    <w:multiLevelType w:val="hybridMultilevel"/>
    <w:tmpl w:val="1E8053E2"/>
    <w:lvl w:ilvl="0" w:tplc="24C02050">
      <w:start w:val="2"/>
      <w:numFmt w:val="decimal"/>
      <w:lvlText w:val="%1)"/>
      <w:lvlJc w:val="left"/>
      <w:pPr>
        <w:tabs>
          <w:tab w:val="num" w:pos="2205"/>
        </w:tabs>
        <w:ind w:left="2205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865"/>
        </w:tabs>
        <w:ind w:left="286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585"/>
        </w:tabs>
        <w:ind w:left="358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305"/>
        </w:tabs>
        <w:ind w:left="430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25"/>
        </w:tabs>
        <w:ind w:left="502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45"/>
        </w:tabs>
        <w:ind w:left="574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65"/>
        </w:tabs>
        <w:ind w:left="646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85"/>
        </w:tabs>
        <w:ind w:left="718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905"/>
        </w:tabs>
        <w:ind w:left="7905" w:hanging="180"/>
      </w:pPr>
    </w:lvl>
  </w:abstractNum>
  <w:abstractNum w:abstractNumId="6">
    <w:nsid w:val="53952F45"/>
    <w:multiLevelType w:val="hybridMultilevel"/>
    <w:tmpl w:val="9AEE364A"/>
    <w:lvl w:ilvl="0" w:tplc="94E8F73E">
      <w:start w:val="2013"/>
      <w:numFmt w:val="decimal"/>
      <w:lvlText w:val="%1"/>
      <w:lvlJc w:val="left"/>
      <w:pPr>
        <w:tabs>
          <w:tab w:val="num" w:pos="2415"/>
        </w:tabs>
        <w:ind w:left="2415" w:hanging="7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7">
    <w:nsid w:val="5515474E"/>
    <w:multiLevelType w:val="hybridMultilevel"/>
    <w:tmpl w:val="CA3A90BE"/>
    <w:lvl w:ilvl="0" w:tplc="C96A9B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62E7D8A"/>
    <w:multiLevelType w:val="hybridMultilevel"/>
    <w:tmpl w:val="69B60B50"/>
    <w:lvl w:ilvl="0" w:tplc="11C2AB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E02B77"/>
    <w:multiLevelType w:val="hybridMultilevel"/>
    <w:tmpl w:val="6DACB87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9"/>
  </w:num>
  <w:num w:numId="7">
    <w:abstractNumId w:val="7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520"/>
    <w:rsid w:val="000D0EB1"/>
    <w:rsid w:val="00182520"/>
    <w:rsid w:val="001D4503"/>
    <w:rsid w:val="009F257B"/>
    <w:rsid w:val="00D50ED6"/>
    <w:rsid w:val="00E125FA"/>
    <w:rsid w:val="00FA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580</Words>
  <Characters>2940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 232636</vt:lpstr>
    </vt:vector>
  </TitlesOfParts>
  <Company>TCR</Company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 232636</dc:title>
  <dc:subject/>
  <dc:creator>TCR</dc:creator>
  <cp:keywords/>
  <dc:description/>
  <cp:lastModifiedBy>Miriam Cristina Rivero</cp:lastModifiedBy>
  <cp:revision>3</cp:revision>
  <cp:lastPrinted>2014-01-29T12:00:00Z</cp:lastPrinted>
  <dcterms:created xsi:type="dcterms:W3CDTF">2014-01-29T12:00:00Z</dcterms:created>
  <dcterms:modified xsi:type="dcterms:W3CDTF">2014-01-29T12:09:00Z</dcterms:modified>
</cp:coreProperties>
</file>